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653 vom 24. Juli 2014</w:t>
      </w:r>
    </w:p>
    <w:p>
      <w:r>
        <w:t>VD Tribunal cantonal, 2014-07-24, FR</w:t>
      </w:r>
    </w:p>
    <w:p>
      <w:r>
        <w:rPr>
          <w:b/>
        </w:rPr>
        <w:t xml:space="preserve">Quelle: </w:t>
      </w:r>
      <w:r>
        <w:t>https://mcp.opencaselaw.ch/entscheid/vd_findinfo_D_cision___2014___653</w:t>
      </w:r>
    </w:p>
    <w:p>
      <w:r>
        <w:t>FR: VD_FINDINFO Décision / 2014 / 653 du 24 juillet 2014</w:t>
      </w:r>
    </w:p>
    <w:p>
      <w:r>
        <w:t>IT: VD_FINDINFO Décision / 2014 / 653 del 24 luglio 2014</w:t>
      </w:r>
    </w:p>
    <w:p>
      <w:pPr>
        <w:pStyle w:val="Heading2"/>
      </w:pPr>
      <w:r>
        <w:t>Regeste</w:t>
      </w:r>
    </w:p>
    <w:p>
      <w:r>
        <w:t>MOTIVATION DE LA DEMANDE, LANGUE DE LA PROCÉDURE, DÉFENSE D'OFFICE, ACTE DE RECOURS, MOTIF DU RECOURS | 132 al. 1 let. b CPP (CH), 132 CPP (CH), 385 CPP (CH)</w:t>
      </w:r>
    </w:p>
    <w:p>
      <w:pPr>
        <w:pStyle w:val="Heading2"/>
      </w:pPr>
      <w:r>
        <w:t>Erwägungen</w:t>
      </w:r>
    </w:p>
    <w:p>
      <w:r>
        <w:rPr>
          <w:b/>
        </w:rPr>
        <w:t>E. 1</w:t>
      </w:r>
    </w:p>
    <w:p>
      <w:r>
        <w:t>let. a CPP). b)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 c) En l’espèce, la recourante a déposé le 20 juillet 2014, soit dans le délai imparti par le président de l’autorité de céans, un acte de recours en français contre l’ordonnance entreprise. A titre de motivation, elle explique pour l’essentiel que la désignation d’un défenseur d’office est nécessaire compte tenu de sa situation financière et de sa méconnaissance du droit. Son courrier du 29 juillet 2014 ne fournit pas d’explications complémentaires concernant les motifs qui commanderaient une autre décision. Il est douteux que le recours de X.________ satisfasse aux exigences de l’art. 385 al. 1 CPP, eu égard à sa motivation lapidaire. La question de sa recevabilité peut toutefois rester ouverte dans la mesure où, comme on le verra, il est suffisamment compréhensible tant sur ses motifs que sur ses conclusions, et doit être rejeté sur le fond de toute manière.</w:t>
      </w:r>
    </w:p>
    <w:p>
      <w:r>
        <w:rPr>
          <w:b/>
        </w:rPr>
        <w:t>E. 2</w:t>
      </w:r>
    </w:p>
    <w:p>
      <w:r>
        <w:t>a)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le Ministère Public de l’arrondissement de l’Est vaudois a ouvert une instruction pénale pour lésions corporelles simples, subsidiairement voies de fait à l’encontre de la recourante. Force est de constater que la cause ne présente aucune difficulté particulière en fait et en droit, si bien que la recourante est capable de se défendre utilement sans l’assistance d’un avocat. Il s’agit de surcroît d’une affaire de peu de gravité, l’intéressée n’étant pas exposée à une peine privative de liberté de plus de quatre mois. On soulignera enfin qu’une ordonnance de classement sera prochainement rendue, suite au retrait pur et simple de la plainte dont la recourante a fait l’objet. L’assistance d’un défenseur d’office n’est ainsi pas justifiée pour sauvegarder ses intérêts. Les conditions de l’art. 132 al. 1 let. b CPP n’étant pas réunies, c’est à bon droit que la désignation d’un défenseur d’office a été refusée à la recourante.</w:t>
      </w:r>
    </w:p>
    <w:p>
      <w:r>
        <w:rPr>
          <w:b/>
        </w:rPr>
        <w:t>E. 3</w:t>
      </w:r>
    </w:p>
    <w:p>
      <w:r>
        <w:t>En définitive, le recours, mal fondé, doit être rejeté dans la mesure où il est recevable et l’ordonnance entreprise confirmée.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L’assistance judiciaire pour la procédure de recours ne saurait pas non plus être envisagée, le recours étant d’emblée dénué de toute chance de succès. Par ces motifs, la Chambre des recours pénale, statuant à huis clos, prononce : I. Le recours est rejeté dans la mesure où il est recevable. II. L’ordonnance du 24 juin 2014 est confirmée. III. Les frais d’arrêt, par 660 fr. (six cent soixante francs), sont mis à la charge de X.________. IV. Le présent arrêt est exécutoire. Le président :               Le greffier : Du L'arrêt qui précède, dont la rédaction a été approuvée à huis clos, est notifié, par l'envoi d'une copie complète, à : -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