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652 vom 7. April 2014</w:t>
      </w:r>
    </w:p>
    <w:p>
      <w:r>
        <w:t>VD Tribunal cantonal, 2014-04-07, FR</w:t>
      </w:r>
    </w:p>
    <w:p>
      <w:r>
        <w:rPr>
          <w:b/>
        </w:rPr>
        <w:t xml:space="preserve">Quelle: </w:t>
      </w:r>
      <w:r>
        <w:t>https://mcp.opencaselaw.ch/entscheid/vd_findinfo_D_cision___2014___652</w:t>
      </w:r>
    </w:p>
    <w:p>
      <w:r>
        <w:t>FR: VD_FINDINFO Décision / 2014 / 652 du 7 avril 2014</w:t>
      </w:r>
    </w:p>
    <w:p>
      <w:r>
        <w:t>IT: VD_FINDINFO Décision / 2014 / 652 del 7 aprile 2014</w:t>
      </w:r>
    </w:p>
    <w:p>
      <w:pPr>
        <w:pStyle w:val="Heading2"/>
      </w:pPr>
      <w:r>
        <w:t>Regeste</w:t>
      </w:r>
    </w:p>
    <w:p>
      <w:r>
        <w:t>CLASSEMENT DE LA PROCÉDURE, DIFFAMATION, PRESCRIPTION | 173 ch. 1 CP, 178 CP, 319 CPP (CH)</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la partie plaignante qui a qualité pour recourir (art. 382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w:t>
      </w:r>
    </w:p>
    <w:p>
      <w:r>
        <w:t>La recourante soutient que, contrairement à ce qu’a retenu le procureur, l’action pénale ne serait pas prescrite. a) Selon l'art. 178 al. 1 CP, pour les délits contre l'honneur, l'action pénale se prescrit par quatre ans. Ce délai court à compter du jour où l'auteur a agi (art. 98 let. a CP). Si l'auteur a agi à plusieurs reprises, il ne s'agit pas d'un comportement durable contraire au droit, chaque acte étant un fait ponctuel, non pas une situation qui se prolonge dans le temps (ATF 119 IV 199; Corboz, Les infractions en droit suisse, vol. I, 3 e éd., Berne 2010, n. 89 ad art. 173 CP). b) En l’espèce, la recourante paraît soutenir que des propos attentatoires à sa considération ont été tenus jusqu’au 4 mai 2010, soit le jour où le Golf Club F.________ l’a informée que sa candidature n’était finalement pas retenue, voire jusqu’au 8 juin 2010, soit la date de l’assemblée générale dudit Golf Club, au procès-verbal de laquelle est consignée la décision du comité de ne pas donner une suite favorable à la demande d’inscription de l’intéressée (cf. P. 36). Des développements de la recourante, rien ne permet de penser qu’elle assigne aux actes incriminés une date postérieure au 8 juin 2010. C’est donc cette dernière date qui doit servir de point de départ au délai de prescription quadriennal de l’art. 178 CP. Il en résulte que la prescription de l’action pénale est acquise depuis le mois de juin 2014.</w:t>
      </w:r>
    </w:p>
    <w:p>
      <w:r>
        <w:rPr>
          <w:b/>
        </w:rPr>
        <w:t>E. 4</w:t>
      </w:r>
    </w:p>
    <w:p>
      <w:r>
        <w:t>Par surabondance, on relève encore que la recourante soutient, sans étayer véritablement son point de vue, que les éléments constitutifs de l’infraction de diffamation sont manifestement réalisés.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En l’espèce, le procureur a procédé à une instruction minutieuse, en entendant notamment la plupart des témoins requis par les conseils successifs de la recourante. Cette instruction n’a cependant pas permis d’établir que G.________ aurait tenu lui-même des propos attentatoires à l’honneur de la recourante ni d’identifier ceux dont les propos pourraient tomber sous la coup de la diffamation. La recourante ne soulève aucun argument spécifique susceptible d’infirmer cette conclusion du procureur, se contentant de renvoyer à sa plainte du 8 octobre 2009, ce qui n’est suffisant. Mal fondé, le moyen aurait été rejeté, quand bien même la prescription ne serait pas acquise. Au surplus, il est pris acte de ce que l’ordonnance de classement n’est pas remise en cause en ce qu’elle met à la charge de la recourante l’indemnité allouée au prévenu pour ses frais de défense, ainsi qu’une part des frais de procédure.</w:t>
      </w:r>
    </w:p>
    <w:p>
      <w:r>
        <w:rPr>
          <w:b/>
        </w:rPr>
        <w:t>E. 5</w:t>
      </w:r>
    </w:p>
    <w:p>
      <w:r>
        <w:t>En définitive, le recours, manifestement mal fondé, doit être rejeté sans autres échanges d’écritures (art. 390 al. 2 CPP) et l’ordonnance attaquée confirmée. Les frais de la procédure de recours, constitués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19 février 2014 est confirmée. III. Les frais d’arrêt, par 660 fr. (six cent soixante francs), sont mis à la charge de K.________. IV. Le présent arrêt est exécutoire. Le président :               Le greffier : Du L'arrêt qui précède, dont la rédaction a été approuvée à huis clos, est notifié, par l'envoi d'une copie complète, à : - Mme Véronique Fontana, avocate (pour K.________) - M. Yves Hofstetter, avocat (pour G.________),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