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651 vom 19. Mai 2014</w:t>
      </w:r>
    </w:p>
    <w:p>
      <w:r>
        <w:t>VD Tribunal cantonal, 2014-05-19, FR</w:t>
      </w:r>
    </w:p>
    <w:p>
      <w:r>
        <w:rPr>
          <w:b/>
        </w:rPr>
        <w:t xml:space="preserve">Quelle: </w:t>
      </w:r>
      <w:r>
        <w:t>https://mcp.opencaselaw.ch/entscheid/vd_findinfo_D_cision___2014___651</w:t>
      </w:r>
    </w:p>
    <w:p>
      <w:r>
        <w:t>FR: VD_FINDINFO Décision / 2014 / 651 du 19 mai 2014</w:t>
      </w:r>
    </w:p>
    <w:p>
      <w:r>
        <w:t>IT: VD_FINDINFO Décision / 2014 / 651 del 19 maggio 2014</w:t>
      </w:r>
    </w:p>
    <w:p>
      <w:pPr>
        <w:pStyle w:val="Heading2"/>
      </w:pPr>
      <w:r>
        <w:t>Regeste</w:t>
      </w:r>
    </w:p>
    <w:p>
      <w:r>
        <w:t>DIFFAMATION, INFRACTIONS CONTRE LE DOMAINE SECRET, PLAINTE PÉNALE, REPRÉSENTATION EN PROCÉDURE | 173 ch. 1 CP, 179septies CP, 30 al. 1 CP, 304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ordonnance de non-entrée en matière rendue par le Ministère public est ainsi susceptible de recours selon les art. 393 ss CPP. Ce recours s’exerce par écrit, dans un délai de dix jours (art. 322 al. 2 CPP, par renvoi de l'art. 310 al. 2 et art. 396 al. 1 CPP), auprès de l’autorité de recours (cf. art. 20 al. 1 let. b CPP), qui, dans le canton de Vaud, est la Chambre des recours pénale du Tribunal cantonal (art. 13 LVCPP [loi d’introduction du code de procédure pénale suisse ; RSV 312.01]; art. 80 LOJV [loi d’organisation judiciaire; RSV 173.01]). Interjeté dans le délai légal contre une décision du Ministère public, respectant les formes prescrites (art. 385 al. 1 CPP) et déposé par une partie ayant qualité pour recourir (art. 382 al. 1 CPP), le recours est recevable.</w:t>
      </w:r>
    </w:p>
    <w:p>
      <w:r>
        <w:rPr>
          <w:b/>
        </w:rPr>
        <w:t>E. 2</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2.1</w:t>
      </w:r>
    </w:p>
    <w:p>
      <w:r>
        <w:t>En l'occurrence, le procureur a tout d’abord considéré que la plainte était irrecevable dès lors qu'elle portait sur la violation de biens immatériels strictement personnels et qu'elle avait été déposée par un avocat qui n’avait pas produit de procuration spéciale, une ratification par le lésé dans le délai de plainte n’étant au demeurant plus possible. Le droit de plainte est de nature strictement personnelle et intransmissible. Le caractère strictement personnel du droit de plainte n’exclut cependant pas qu’il puisse être exercé par un représentant. Une procuration générale suffit. Une procuration spéciale donnée expressément ou tacitement en vue du cas concret n’est nécessaire qu’en cas de violation de biens immatériels strictement personnels (vie et intégrité corporelle, honneur, liberté personnelle et mariage, relation avec les enfants) (ATF 122 IV 207, JT 1998 IV 76 c. 3c). Lorsqu’une plainte est déposée par un représentant non autorisé, le lésé doit la confirmer dans le délai prévu par l’article 31 CP (Code pénal suisse du 21 décembre 1937; RS 311.0) (ATF 122 IV 207, précité c. 3a). En l’espèce, l’avocat n’a pas agi sans pouvoir: il ressort en effet des pièces produites à l’appui du recours, et en particulier d'un courriel adressé le 5 mars 2014 – soit le jour du dépôt de la plainte – par V.________ à son conseil (cf. P. 5 annexée au recours), que l’avocat a bien agi sur la base des instructions de son mandant. La question est donc de savoir si l’avocat devait, formellement, déposer une procuration spéciale en même temps que la plainte. A ce sujet, le Tribunal fédéral avait considéré, avant l’entrée en vigueur du CPP, qu’il appartenait à la procédure cantonale de déterminer les conditions de forme auquel la plainte devait satisfaire lorsque le droit strictement personnel du lésé de la déposer était exercé par un représentant en précisant que, dans celle perspective, le droit cantonal pouvait exiger la production d’une procuration écrite dans le délai de plainte ou en dehors de celui-ci, voir dispenser le mandataire choisi, avocat ou non, de présenter un tel document (ATF 118 IV 167 c. 1b). Désormais, le Code de procédure pénale fédéral, en particulier l’art. 304 CPP, n’impose pas la production d’une procuration écrite dans le délai de plainte. La plainte de V.________ et de D.________ SA est ainsi recevable, ce d’autant plus que l’avocat a désormais produit, à l’appui de son recours, une procuration spéciale.</w:t>
      </w:r>
    </w:p>
    <w:p>
      <w:r>
        <w:rPr>
          <w:b/>
        </w:rPr>
        <w:t>E. 2.2</w:t>
      </w:r>
    </w:p>
    <w:p>
      <w:r>
        <w:t>Les recourants reprochent ensuite au procureur d’avoir considéré que les infractions prévues aux art. 179bis et 179ter CP n’étaient pas réalisées. Aux termes de l’art. 179bis CP, se rend coupable d’écoute et d’enregistrement de conversations entre d’autres personnes, celui qui, sans le consentement de tous les participants, aura écouté à l’aide d’un appareil d’écoute ou enregistré sur un porteur de son une conversation non publique entre d’autres personnes (al. 1), celui qui aura tiré profit ou donné connaissance à un tiers d’un fait qu’il savait ou devait présumer être parvenu à sa propre connaissance au moyen d’une infraction visée à l’al. 1 (al. 2), celui qui aura conservé ou rendu accessible à un tiers un enregistrement qu’il savait ou devait présumer avoir été réalisé au moyen d’une infraction visée à l’al. 1 (al. 3). Selon l'art. 179ter CP, se rend coupable d'enregistrement non autorisé de conversations, celui qui, sans le consentement des autres interlocuteurs, aura enregistré sur un porteur de son une conversation non publique à laquelle il prenait part (al. 1), celui qui aura conservé un enregistrement qu’il savait ou devait présumer avoir été réalisé au moyen d’une infraction visée à l’al. 1, ou en aura tiré profit, ou l’aura rendu accessible à un tiers (al. 2). Les dispositions précitées ont pour objet une conversation, soit un entretien oral, un échange de propos qui peut porter sur une information ou une pensée (Corboz, Les infractions en droit suisse I, 3 e éd. Berne 2010, n. 3 ad art. 179bis CP; Dubuis/Geller/Monnier/Moreillon/Piguet/Bettex/Stoll, Petit commentaire du Code pénal, Bâle 2012, n. 3 ad art. 179bis CP). Bien que cela soit controversé en doctrine, certains auteurs considèrent qu’un discours ou un monologue entre aussi dans le cadre de cette définition (Trechsel et alii, in : Schweizerisches Strafgesetzbuch, Praxiskommentar, Zurich 2013, n. 2 ad art. 179bis CP; Von Ins/Wyder, Basler Kommentar, Strafrecht II, 2 e éd., Bâle 2013, n. 8 ad art. 179bis CP). En l’espèce, on ne saurait considérer qu’une conversation a été engagée entre U.________ et V.________, les intéressés n’ayant en réalité pas eu le temps de débuter leur échange. La durée de la scène filmée ne change rien à cette appréciation. On ne saurait non plus admettre l’existence d’un discours ou d’un monologue du recourant, celui-ci ayant en tout et pour tout prononcé quatre mots. C’est donc à juste titre que le procureur a considéré que ces deux infractions n’étaient pas réalisées.</w:t>
      </w:r>
    </w:p>
    <w:p>
      <w:r>
        <w:rPr>
          <w:b/>
        </w:rPr>
        <w:t>E. 2.3</w:t>
      </w:r>
    </w:p>
    <w:p>
      <w:r>
        <w:t>En dernier lieu, les recourants reprochent au procureur d’avoir considéré que la séquence incriminée n'était pas attentatoire à l'honneur.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 2.1.1; ATF 132 IV 112 c. 2.1; ATF 128 IV 53 c. 1a).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c.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 2.1.3). En l'occurrence, c'est un fait que V.________ a raccroché au nez du journaliste, lorsque ce dernier a tenté d'obtenir son point de vue par téléphone. La séquence litigieuse donne l'impression que le recourant refuse d'emblée toute communication, ce qui inexact et, déontologiquement, hautement contestable. Mais le fait de se dérober, même grossièrement, à une question de journalistes sur ses démêlés fiscaux et pénaux ne fait pas encore apparaître V.________ ou sa société comme méprisables au sens de la jurisprudence précitée. C'est donc à juste titre, dans ces circonstances, que le procureur a considéré que les infractions des art. 173 et suivants CP n'entraient pas en ligne de compte dans le cas particulier.</w:t>
      </w:r>
    </w:p>
    <w:p>
      <w:r>
        <w:rPr>
          <w:b/>
        </w:rPr>
        <w:t>E. 3</w:t>
      </w:r>
    </w:p>
    <w:p>
      <w:r>
        <w:t>En définitive, le recours doit être rejeté et l'ordonnance du 28 mars 2014 confirmée. Vu l'issue du recours, les frais d'arrêt, par 880 fr. (art. 20 al. 1 TFIP [tarif des frais de procédure et indemnités en matière pénale du 28 septembre 2010; RSV 312.03.1]), seront supportés par les plaignants, solidairement entre eux. Par ces motifs, la Chambre des recours pénale, statuant à huis clos, prononce : I. Le recours est rejeté. II. L'ordonnance du 28 mars 2014 est confirmée. III. Les frais d'arrêt, par 880 fr. (huit cent huitante francs), sont mis à la charge des recourants V.________ et D.________ SA, solidairement entre eux. IV. Le présent arrêt est exécutoire. Le président :               La greffière : Du L'arrêt qui précède, dont la rédaction a été approuvée à huis clos, est notifié, par l'envoi d'une copie complète, à : - M. Yannis Sakkas, avocat (pour V.________ et D.________ SA), - Ministère public central, et communiqué à : - M. le Procureur du Ministère public central, Division affaires spéciales, contrôle et mineurs, - M. Jamil Soussi, avocat (pour Q.________ et U.________),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