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644 vom 18. Dezember 2013</w:t>
      </w:r>
    </w:p>
    <w:p>
      <w:r>
        <w:t>VD Tribunal cantonal, 2013-12-18, FR</w:t>
      </w:r>
    </w:p>
    <w:p>
      <w:r>
        <w:rPr>
          <w:b/>
        </w:rPr>
        <w:t xml:space="preserve">Quelle: </w:t>
      </w:r>
      <w:r>
        <w:t>https://mcp.opencaselaw.ch/entscheid/vd_findinfo_D_cision___2014___644</w:t>
      </w:r>
    </w:p>
    <w:p>
      <w:r>
        <w:t>FR: VD_FINDINFO Décision / 2014 / 644 du 18 décembre 2013</w:t>
      </w:r>
    </w:p>
    <w:p>
      <w:r>
        <w:t>IT: VD_FINDINFO Décision / 2014 / 644 del 18 dicembre 2013</w:t>
      </w:r>
    </w:p>
    <w:p>
      <w:pPr>
        <w:pStyle w:val="Heading2"/>
      </w:pPr>
      <w:r>
        <w:t>Regeste</w:t>
      </w:r>
    </w:p>
    <w:p>
      <w:r>
        <w:t>INDEMNITÉ{EN GÉNÉRAL}, AVOCAT D'OFFICE | 135 al. 3 let. a CPP (CH), 135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 e éd., Berne 2014, ch. 27 ad art. 107 LTF ; CREP 23 avril 2012/197).</w:t>
      </w:r>
    </w:p>
    <w:p>
      <w:r>
        <w:rPr>
          <w:b/>
        </w:rPr>
        <w:t>E. 2</w:t>
      </w:r>
    </w:p>
    <w:p>
      <w:r>
        <w:t>Dans son arrêt du 30 juin 2014 (6B_329/2014), le Tribunal fédéral a considéré que le droit d’être entendu du recourant avait été violé, dans la mesure où, faute d’explication notamment liée à la nature et à l’importance de la cause, la motivation cantonale ne permettait pas de déterminer en quoi les démarches de l’avocat étaient inutiles. En particulier, l’autorité cantonale n’indiquait pas les raisons pour lesquelles elle s’écartait de la liste des opérations – liste au demeurant parfaitement claire dans sa structure et mentionnant la date et les détails de chaque prestation – ainsi que de la note de débours présentées par l’avocat, ni dans quelle mesure elle estimait les prétentions injustifiées ou excessives (c. 2.3).</w:t>
      </w:r>
    </w:p>
    <w:p>
      <w:r>
        <w:rPr>
          <w:b/>
        </w:rPr>
        <w:t>E. 3</w:t>
      </w:r>
    </w:p>
    <w:p>
      <w:r>
        <w:t>heures et 20 minutes y relatives dans leur calcul. S’agissant des débours, la note présentée n’apparaît pas non plus excessive. A ce titre, on relèvera que le recourant a adapté dans l’intervalle les frais liés aux photocopies en tenant compte de la jurisprudence cantonale (20 centimes par copie [cf. CREP 12 septembre 2013/575 c. 2b], et non 30 centimes par copie comme initialement requis). Le montant des débours sollicité est de 399 fr. 80, hors TVA. Ce montant comprend en outre deux vacations, soit 240 fr. (2 x 120 francs). Au total, les débours admissibles se montent dès lors à 399 fr. 80 (52 fr. 80 + 107 fr. + 240 fr.). Ainsi, on aboutit à 19 heures et 56 minutes d’activité au tarif de 180 fr. de l’heure, ce qui donne lieu à une indemnité de 3'588 fr., plus 399 fr. 80 pour les débours, plus 319 fr. 05 de TVA sur ces montants (287 fr. 05 et 32 fr.), soit à une indemnité d’office totale, TVA et débours compris, d’un montant de 4'306 fr. 85. En définitive, le jugement entrepris sera dès lors réformé au chiffre VIII de son dispositif en ce sens que les frais de procédure mis à la charge du prévenu F.________ sont arrêtés à 32'166 fr. et que l’indemnité d’office, comprise dans ces frais, qui sera servie à Me C.________, est arrêtée à 4'306 fr. 85.</w:t>
      </w:r>
    </w:p>
    <w:p>
      <w:r>
        <w:rPr>
          <w:b/>
        </w:rPr>
        <w:t>E. 4</w:t>
      </w:r>
    </w:p>
    <w:p>
      <w:r>
        <w:t>Il résulte de ce qui précède que le recours doit être partiellement admis et le jugement du 18 décembre 2013 en tant qu'il fixe l'indemnité due à Me C.________ en sa qualité de défenseur d'office du prévenu réformé à son chiffre VIII dans le sens des considérants qui précèdent. Le recourant obtenant gain de cause dans une large mesure, les frais de la procédure de recours, comprenant l’émolument de l’arrêt du 12 février 2014, par 630 fr., ainsi que l’émolument du présent arrêt, par 630 fr. également, seront laissés à la charge de l’Etat (art. 423 al. 1 CPP). Enfin, le défenseur d'office qui recourt en son nom a droit à des honoraires (Ruckstuhl, in : Niggli/Heer/Wiprächtiger [éd.], Schweizerische Strafprozessordnung, Jugendstrafprozessordnung, Bâle 2011, nn. 16 et 18 ad art. 135 CPP ; Pra 2008, n. 46 ; Juge unique CREP 2 juin 2014/379 ; CREP du 9 novembre 2011/477). Ceux-ci sont fixés sur la base d’un tarif horaire de 180 fr. pour les avocats brevetés s’agissant d’une indemnité pour une activité déployée dans le cadre d’un mandat d’office. Au vu du mémoire produit, on retiendra 2 heures à 180 fr., si bien qu’une indemnité de 360 fr., plus la TVA, par 28 fr. 80, soit de 388 fr. 80 au total, sera allouée au recourant à ce titre. Par ces motifs, le Juge de la Chambre des recours pénale, statuant à huis clos, prononce : I. Le recours est partiellement admis. II. Le jugement est réformé au chiffre VIII de son dispositif en ce sens que l’indemnité servie à Me C.________, défenseur d’office du prévenu F.________, est fixée à 4'306 fr. 85 (quatre mille trois cent six francs et huitante-cinq centimes) et que les frais de procédure mis à la charge de.________ F.________ sont arrêtés à 32'166 fr. (trente-deux mille cent soixante-six francs). III. Une indemnité de 388 fr. 80 (trois cent huitante-huit francs et huitante centimes) pour la procédure de recours est allouée à Me C.________, à la charge de l’Etat. IV. Les frais de la procédure de recours, par 1'260 fr. (mille deux cent soixante francs), sont laissés à la charge de l’Etat. V. Le présent arrêt est exécutoire. Le juge :               La greffière : Du L'arrêt qui précède, dont la rédaction a été approuvée à huis clos, est notifié, par l'envoi d'une copie complète, à : - M. C.________, avocat, - Ministère public central ; et communiqué à : - M. le Président du Tribunal correctionnel de Lausanne, - Mme O.________, avocate (pour I.________), par l’envoi de photocopies. En vertu de l’art. 135 al. 3 let. b CPP, le présent arrêt peut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