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643 vom 29. Juli 2014</w:t>
      </w:r>
    </w:p>
    <w:p>
      <w:r>
        <w:t>VD Tribunal cantonal, 2014-07-29, FR</w:t>
      </w:r>
    </w:p>
    <w:p>
      <w:r>
        <w:rPr>
          <w:b/>
        </w:rPr>
        <w:t xml:space="preserve">Quelle: </w:t>
      </w:r>
      <w:r>
        <w:t>https://mcp.opencaselaw.ch/entscheid/vd_findinfo_D_cision___2014___643</w:t>
      </w:r>
    </w:p>
    <w:p>
      <w:r>
        <w:t>FR: VD_FINDINFO Décision / 2014 / 643 du 29 juillet 2014</w:t>
      </w:r>
    </w:p>
    <w:p>
      <w:r>
        <w:t>IT: VD_FINDINFO Décision / 2014 / 643 del 29 luglio 2014</w:t>
      </w:r>
    </w:p>
    <w:p>
      <w:pPr>
        <w:pStyle w:val="Heading2"/>
      </w:pPr>
      <w:r>
        <w:t>Regeste</w:t>
      </w:r>
    </w:p>
    <w:p>
      <w:r>
        <w:t>DÉTENTION PROVISOIRE, VISITE | 235 CPP (CH), 52 RSDAJ</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pour le cas d'un refus d'autorisation de visite à un prévenu en détention provisoire, cf. CREP 14 juillet 2014/474; CREP 2 mai 2012/231 c. 1b; CREP 7 août 2012/379 c.1a), par le prévenu, qui a qualité pour recourir (art. 382 al. 1 CPP), et dans les formes prescrites (art. 385 al. 1 CPP), le recours est recevable.</w:t>
      </w:r>
    </w:p>
    <w:p>
      <w:r>
        <w:rPr>
          <w:b/>
        </w:rPr>
        <w:t>E. 2</w:t>
      </w:r>
    </w:p>
    <w:p>
      <w:r>
        <w:t>a) 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Les cantons règlent les droits et les obligations des prévenus en détention, leurs droits de recours, les mesures disciplinaires ainsi que la surveillance des établissements de détention (al. 5). Dans le canton de Vaud, les détenus placés dans un établissement de détention avant jugement peuvent recevoir une visite d'une heure par semaine, aux jours et heures fixés par la direction de chaque établissement (art. 52 al. 1 RSDAJ [règlement du 16 janvier 2008 sur le statut des détenus avant jugement et des condamnés placés dans un établissement de détention avant jugement et les régimes de détention applicables; RSV 340.02.5]). La garantie de la liberté personnelle (art. 10 al. 1 Cst. [Constitution fédérale de la Confédération suisse du 18 avril 1999; RS 101]) et le droit au respect de la vie privée et familiale (art. 8 CEDH [Convention du 4 novembre 1950 de sauvegarde des droits de l'homme et des libertés fondamentales; RS 0.101] et 13 Cst.) permettent aux personnes détenues d'entretenir des contacts avec les membres de leur famille, dans les limites découlant de la mesure de contrainte qui leur est imposée et du rapport de sujétion spécial qui les lie à l'Etat (TF 1B_74/2014 du 7 avril 2014 c. 3.2; TF 1B_382/2013 du 18 décembre 2013 c. 2.1). Conformément aux exigences de l'art. 36 Cst., les restrictions à ce droit doivent reposer sur une base légale et ne pas aller au-delà de ce qui est nécessaire au but de l'incarcération (ATF 119 Ia 505 c. 3b; ATF 118 Ia 64 c. 2d; TF 1B_74/2014 du 7 avril 2014 c. 3.2; TF 1B_382/2013 du 18 décembre 2013 c. 2.1). Les exigences inhérentes au but de la détention doivent être examinées dans chaque cas, les restrictions imposées pouvant être d'autant plus sévères que le risque, notamment de collusion, apparaît élevé (ATF 118 Ia 64 c. 2d; TF 1B_74/2014 du 7 avril 2014 c. 3.2; TF 1B_382/2013 du 18 décembre 2013 c. 2.1). Par analogie avec la détention provisoire, le risque de collusion doit, pour faire échec au droit de visite des proches, présenter une certaine vraisemblance (ATF 123 I 31 c. 3c; ATF 117 Ia 257 c. 4c; TF 1B_74/2014 du 7 avril 2014 c. 3.2; TF 1B_382/2013 du 18 décembre 2013 c. 2.1), et l'autorité doit indiquer, au moins dans les grandes lignes, en quoi l'exercice de ce droit pourrait compromettre les résultats de l'enquête (cf. ATF 123 I 31 c. 2b; ATF 116 Ia 149 c. 5; TF 1B_74/2014 du 7 avril 2014 c. 3.2; TF 1B_382/2013 du 18 décembre 2013 c. 2.1). b) En l’espèce, si le Ministère public a refusé jusqu’à ce jour d’autoriser les visites des enfants du prévenu, c’est notamment en raison du grave conflit de loyauté existant et de la pression que pourrait exercer le prévenu sur son fils G.________, né le 26 août 2007, dont les déclarations sont essentielles pour l’établissement des faits. Toutefois, dans ses déterminations du 23 juillet 2014, le Ministère public a estimé que les modalités proposées par la FVP dans son préavis du 26 mars 2014 étaient réalisables, bien qu’aucune certitude n’existe quant au respect de la condition consistant en ce que la visite se déroule en français. Dans ces circonstances et au vu de l’importance du maintien des relations personnelles entre le prévenu et ses enfants, il convient d’autoriser le recourant à recevoir la visite de ses enfants sur son lieu de détention selon les modalités proposées par la FVP, à savoir la présence impérative, lors de la première visite à tout le moins, de deux agents de probation et d’un agent de détention, lequel devra surveiller que la visite se déroule exclusivement en français et aura autorité pour l’interrompre si cette condition ne devait pas être respectée. Il appartiendra à la direction de la Prison de la Tuilière de mettre en œuvre les modalités qui précèdent.</w:t>
      </w:r>
    </w:p>
    <w:p>
      <w:r>
        <w:rPr>
          <w:b/>
        </w:rPr>
        <w:t>E. 3</w:t>
      </w:r>
    </w:p>
    <w:p>
      <w:r>
        <w:t>En définitive, le recours doit être admis et l’ordonnance attaquée réformée en ce sens que M.________ est autorisé à recevoir la visite de ses enfants sur son lieu de détention selon les modalités fixées par la direction de l’Etablissement de détention en conformité avec les considérants du présent arrêt. Les frais de la procédure de recours, constitués de l'émolument d'arrêt (art. 422 al. 1 CPP), par 660 fr. (art. 20 al. 1 TFIP [Tarif des frais de procédure et indemnités en matière pénale du 28 septembre 2010; RSV 312.03.1]), ainsi que des frais imputables à la défense d’office (art. 422 al. 1 et al. 2 let. a CPP), fixés à 360 fr., plus la TVA, par 28 fr. 80, soit 388 fr. 80 au total, seront laissés à la charge de l'Etat (art. 423 al. 1 CPP). Par ces motifs, la Chambre des recours pénale, statuant à huis clos, prononce : I. Le recours est admis. II. L’ordonnance du 16 juillet 2014 est réformée en ce sens que M.________ est autorisé à recevoir la visite de ses enfants sur son lieu de détention selon les modalités fixées par la direction de l’établissement de détention en conformité avec les considérants du présent arrêt. III. L’indemnité due au défenseur d’office de M.________ est fixée à 388 fr. 80 (trois cent huitante-huit francs et huitante centimes). IV. Les frais d’arrêt, par 660 fr. (six cent soixante francs) ainsi que l’indemnité due au défenseur d’office de M.________, par 388 fr. 80 (trois cent huitante-huit francs et huitante centimes), sont laissés à la charge de l’Etat. V. Le présent arrêt est exécutoire. Le président :               La greffière : Du L'arrêt qui précède, dont la rédaction a été approuvée à huis clos, est notifié, par l'envoi d'une copie complète, à : - M. Raphaël Brochellaz, avocat (pour M.________), - Mme Marie-Pomme Moinat, avocate (pour F.________), - Ministère public central, et communiqué à : ‑ Mme la Procureure de l’arrondissement de La Côte, - Direction de la Prison de la Tuilière, - Fondation Vaudoise de Probation,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