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 vom 10. Juli 2013</w:t>
      </w:r>
    </w:p>
    <w:p>
      <w:r>
        <w:t>VD Tribunal cantonal, 2013-07-10, FR</w:t>
      </w:r>
    </w:p>
    <w:p>
      <w:r>
        <w:rPr>
          <w:b/>
        </w:rPr>
        <w:t xml:space="preserve">Quelle: </w:t>
      </w:r>
      <w:r>
        <w:t>https://mcp.opencaselaw.ch/entscheid/vd_findinfo_D_cision___2014___64</w:t>
      </w:r>
    </w:p>
    <w:p>
      <w:r>
        <w:t>FR: VD_FINDINFO Décision / 2014 / 64 du 10 juillet 2013</w:t>
      </w:r>
    </w:p>
    <w:p>
      <w:r>
        <w:t>IT: VD_FINDINFO Décision / 2014 / 64 del 10 luglio 2013</w:t>
      </w:r>
    </w:p>
    <w:p>
      <w:pPr>
        <w:pStyle w:val="Heading2"/>
      </w:pPr>
      <w:r>
        <w:t>Regeste</w:t>
      </w:r>
    </w:p>
    <w:p>
      <w:r>
        <w:t>INDEMNITÉ ÉQUITABLE, INDEMNITÉ{EN GÉNÉRAL}, AVOCAT, ACQUITTEMENT | 393 al. 1 let. b CPP (CH), 429 al. 1 let. a CPP (CH), 429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le délai légal contre un jugement d’un tribunal de première instance ayant clos la procédure (art. 398 al. 1 CPP), l'appel est recevable. Il y a donc lieu d'entrer en matière sur le fond.</w:t>
      </w:r>
    </w:p>
    <w:p>
      <w:r>
        <w:rPr>
          <w:b/>
        </w:rPr>
        <w:t>E. 2</w:t>
      </w:r>
    </w:p>
    <w:p>
      <w:r>
        <w:t>Conformément à l'art. 406 al. 1 let. d CPP, l'appel est traité en procédure écrite, seule la question de l’indemnité fondée sur l’art. 429 CPP étant litigieuse en l'espèce. Par ailleurs, dans la mesure où seule une contravention a fait l’objet de la procédure de première instance, un membre de la Cour d'appel pénale statue comme juge unique, conformément à l'art. 14 al. 3 LVCPP (Loi d'introduction du Code de procédure pénale suisse du 19 mai 2009, RSV 312.01).</w:t>
      </w:r>
    </w:p>
    <w:p>
      <w:r>
        <w:rPr>
          <w:b/>
        </w:rPr>
        <w:t>E. 3</w:t>
      </w:r>
    </w:p>
    <w:p>
      <w:r>
        <w:t>L’appelant fait valoir que même s’il s’agissait d’une contravention et que la condamnation était modeste, la présente affaire présentait une certaine complexité nécessitant le recours à un avocat. A l’appui de son grief, il a exposé qu’il avait fallu démontrer que le travail de la police n’était pas irréprochable et que sans analyse méticuleuse du dossier par son défenseur de choix, il n’était pas sûr qu’il aurait été acquitté. Il a également soutenu qu’il y avait tout lieu de penser qu’il aurait fait l’objet d’un retrait de permis en cas de condamnation pénale, mettant en exergue le fait que la tendance actuelle de l’autorité administrative en la matière serait de criminaliser le moindre comportement routier, ce qui rendait ainsi le risque de retrait de permis concret.</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L’alinéa 2 de cette disposition précise en outre que l’autorité pénale examine d’office les prétentions du prévenu et peut enjoindre à celui-ci de les chiffrer et de les justifier.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pp. 1057 ss, spéc. p.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 2.3.5). S’agissant d’une contravention à la LCR,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 er novembre 2012 ; voir dans le même sens CAPE 16 mai 2012/132, CAPE 19 avril 2013/101).</w:t>
      </w:r>
    </w:p>
    <w:p>
      <w:r>
        <w:rPr>
          <w:b/>
        </w:rPr>
        <w:t>E. 3.2</w:t>
      </w:r>
    </w:p>
    <w:p>
      <w:r>
        <w:t>En l’espèce, l’appelant a déposé, seul, une opposition dûment motivée, étant précisé que l’art. 354 al. 2 CPP n’exige pas de motivation. Il a ensuite consulté un avocat. Seuls les faits étaient litigieux, en particulier la question de savoir si R.________ avait pu voir le véhicule impliqué dans la collision et si l’autre conducteur avait enclenché ses phares. Les arguments qui ont abouti à son acquittement étaient donc simples et de pur fait, de sorte que même une personne non juriste pouvait les maîtriser sans une assistance juridique. L’affaire ne présentait en outre aucune difficulté en droit. Le conducteur du véhicule impliqué a certes été légèrement blessé ; cependant R.________ n’a pas été renvoyé pour lésions corporelles simples par négligence, mais uniquement pour contravention à la LCR. En outre, malgré le fait que le Service des automobiles et de la navigation ait suspendu la procédure administrative dans l’attente de la clôture de la procédure pénale, rien n’indique, au vu de l’absence d’antécédents administratifs de R.________ en matière de circulation routière qu’il aurait fait l’objet d’un retrait de permis de conduire significatif, contrairement à ce que l’appelant allègue. Du reste, il sied de relever que l’intéressé n’a pas un besoin professionnel de son permis de conduire. Enfin, il est ordinaire qu’une personne soit confrontée au moins une fois dans sa vie à une procédure pénale pour un cas de peu de gravité en matière de LCR, comme le relève le Tribunal fédéral (cf. TF 6B_563/2012 précité c. 1.4). En conséquence, l’assistance d’un avocat ne justifiait pas, compte tenu de la simplicité de la cause en fait et en droit.</w:t>
      </w:r>
    </w:p>
    <w:p>
      <w:r>
        <w:rPr>
          <w:b/>
        </w:rPr>
        <w:t>E. 4</w:t>
      </w:r>
    </w:p>
    <w:p>
      <w:r>
        <w:t>En définitive, l'appel doit être rejeté et le jugement du 30 octobre 2012 confirmé. Vu l'issue de la cause, les frais de la procédure d'appel, comprenant l'émolument du présent jugement, par 630 fr. (art. 21 al. 1 TFJP [Tarif des frais judiciaires pénaux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