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638 vom 24. Juli 2014</w:t>
      </w:r>
    </w:p>
    <w:p>
      <w:r>
        <w:t>VD Tribunal cantonal, 2014-07-24, FR</w:t>
      </w:r>
    </w:p>
    <w:p>
      <w:r>
        <w:rPr>
          <w:b/>
        </w:rPr>
        <w:t xml:space="preserve">Quelle: </w:t>
      </w:r>
      <w:r>
        <w:t>https://mcp.opencaselaw.ch/entscheid/vd_findinfo_D_cision___2014___638</w:t>
      </w:r>
    </w:p>
    <w:p>
      <w:r>
        <w:t>FR: VD_FINDINFO Décision / 2014 / 638 du 24 juillet 2014</w:t>
      </w:r>
    </w:p>
    <w:p>
      <w:r>
        <w:t>IT: VD_FINDINFO Décision / 2014 / 638 del 24 luglio 2014</w:t>
      </w:r>
    </w:p>
    <w:p>
      <w:pPr>
        <w:pStyle w:val="Heading2"/>
      </w:pPr>
      <w:r>
        <w:t>Regeste</w:t>
      </w:r>
    </w:p>
    <w:p>
      <w:r>
        <w:t>FICTION DE LA NOTIFICATION, DOMICILE EN SUISSE | 354 CPP (CH), 88 al. 1 let. c CPP (CH), 88 al. 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CREP 13 juin 2014/407 et les références citées). En l’espèce, le recours a été interjeté en temps utile (art. 396 al. 1 CPP), devant l’autorité compétente, par le prévenu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Le prévenu a notamment cette qualité (cf. art. 354 al. 1 CPP). Si aucune opposition n’est valablement formée, l’ordonnance pénale est assimilée à un jugement entré en force (art. 354 al. 3 CPP).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 3.1; JT 2011 III 199).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Donatsch/Hansjakob/Lieber (éd.), Kommentar zur Schweizerischen Strafprozessordnung, 2010, n. 8 ad art. 88 CPP).</w:t>
      </w:r>
    </w:p>
    <w:p>
      <w:r>
        <w:rPr>
          <w:b/>
        </w:rPr>
        <w:t>E. 2.2</w:t>
      </w:r>
    </w:p>
    <w:p>
      <w:r>
        <w:t>En l’espèce, le recourant fait valoir, d’une part, que la décision n’a pas été publiée dans la Feuille d’avis officielle puisqu’elle lui aurait été notifiée à l’adresse de B.________ ; il ajoute que l’autorité n’aurait pas démontré que cette décision avait effectivement été reçue puisque le formulaire Track&amp;Trace ne pouvait pas en attester. D’autre part, le recourant soutient que les conditions d’application de l’art. 88 al. 4 CPP ne seraient pas réunies dès lors que le Ministère public n’aurait effectué aucune recherche pour le localiser avant l’envoi de l’ordonnance pénale, alors que cette décision a été rendue une année et demie après son audition. Il ajoute que l’autorité pénale aurait à tout le moins pu tenter de le joindre à l’un des deux numéros de téléphone figurant sur la première page de sa première audition, voire à l’un de ceux indiqués par B.________, ou encore qu’elle aurait pu se renseigner auprès du contrôle des habitants de Nyon.</w:t>
      </w:r>
    </w:p>
    <w:p>
      <w:r>
        <w:rPr>
          <w:b/>
        </w:rPr>
        <w:t>E. 2.3</w:t>
      </w:r>
    </w:p>
    <w:p>
      <w:r>
        <w:t>Il est exact que le formulaire Track&amp;Trace de l’ordonnance pénale du 16 mars 2012 ne peut plus attester de la notification de la décision, dès lors que l’expédition de celle-ci remonte à plus de 360 jours (P. 13). Toutefois, le fait que le recourant ait ou non reçu l’ordonnance pénale à l’adresse de son amie est sans incidence sur la tardiveté de son opposition. En effet, en admettant même que l’ordonnance n’ait pas été valablement notifiée à l’adresse de son amie, il y a lieu de relever que X.________ est sans domicile en Suisse et qu’il n'a pas désigné de domicile de notification dans ce pays. Son attention avait pourtant été attirée sur ce fait, puisqu’il a signé, devant le Juge d’instruction au moment de son audition du 16 septembre 2010, un document qui indiquait que puisqu’il ne connaissait personne chez qui faire élection de domicile, il s’engageait à fournir aux autorités pénales, sans délai, les coordonnées d’une personne de confiance. Or, il ne s’est jamais exécuté. Il avait été formellement inculpé et il savait qu’une procédure pénale le concernant était ouverte. Le fait que l’ordonnance pénale n’ait finalement été rendue qu’une année et demie après l’audition du 16 septembre 2010 ne permet pas de considérer que le recourant était dispensé de fournir les informations concernant une éventuelle élection de domicile. Au contraire, le prévenu a disposé d’un laps de temps suffisant pour remplir cette obligation, sans toutefois s’exécuter. On se trouve donc bien dans la situation de l’art. 88 al. 1 let. c CPP et la fiction de notification de l’ordonnance pénale de l’art. 88 al. 4 CPP s’applique dès lors au cas d’espèce. L’opposition formée le 1 er avril 2014 est donc manifestement tardive.</w:t>
      </w:r>
    </w:p>
    <w:p>
      <w:r>
        <w:rPr>
          <w:b/>
        </w:rPr>
        <w:t>E. 3</w:t>
      </w:r>
    </w:p>
    <w:p>
      <w:r>
        <w:t>En définitive, le recours doit être rejeté sans autre échange d’écritures (art. 390 al. 2 CPP) et le prononcé du 15 juillet 2014 confirmé. La requête tendant à la désignation d'un défenseur d'office pour la procédure de recours sera rejetée, car le recours était d’emblée dénué de chances de succès (CREP 28 janvier 2013/37 et les références citées), vu la pratique constante de la Cour de céans relative à l’art. 88 CPP (p. ex. CREP 5 octobre 2011/405, JT 2011 III 199) confirmée par le Tribunal fédéral (voir p. ex. TF 6B_738/2011 du 20 mars 2012). Les frais de la procédure de recours, constitués uniquement des frais d’arrêt, par 660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Le prononcé du 15 juillet 2014 est confirmé. III. La requête de désignation d'un défenseur d'office pour la procédure de recours est rejetée. IV. Les frais de la procédure de recours, par 660 fr. (six cent soixante francs), sont mis à la charge de X.________. V. Le présent arrêt est exécutoire. Le président :               La greffière : Du L'arrêt qui précède, dont la rédaction a été approuvée à huis clos, est notifié, par l'envoi d'une copie complète, à : - M. Fabien Mingard, avocat (pour X.________), - Ministère public central, et communiqué à : ‑ M. le Président du Tribunal de police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