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632 vom 15. Juli 2014</w:t>
      </w:r>
    </w:p>
    <w:p>
      <w:r>
        <w:t>VD Tribunal cantonal, 2014-07-15, FR</w:t>
      </w:r>
    </w:p>
    <w:p>
      <w:r>
        <w:rPr>
          <w:b/>
        </w:rPr>
        <w:t xml:space="preserve">Quelle: </w:t>
      </w:r>
      <w:r>
        <w:t>https://mcp.opencaselaw.ch/entscheid/vd_findinfo_D_cision___2014___632</w:t>
      </w:r>
    </w:p>
    <w:p>
      <w:r>
        <w:t>FR: VD_FINDINFO Décision / 2014 / 632 du 15 juillet 2014</w:t>
      </w:r>
    </w:p>
    <w:p>
      <w:r>
        <w:t>IT: VD_FINDINFO Décision / 2014 / 632 del 15 luglio 2014</w:t>
      </w:r>
    </w:p>
    <w:p>
      <w:pPr>
        <w:pStyle w:val="Heading2"/>
      </w:pPr>
      <w:r>
        <w:t>Regeste</w:t>
      </w:r>
    </w:p>
    <w:p>
      <w:r>
        <w:t>NON-LIEU, DIFFAMATION, PREUVE LIBÉRATOIRE | 173 ch. 1 CP, 173 CP, 319 al. 1 CPP (CH)</w:t>
      </w:r>
    </w:p>
    <w:p>
      <w:pPr>
        <w:pStyle w:val="Heading2"/>
      </w:pPr>
      <w:r>
        <w:t>Erwägungen</w:t>
      </w:r>
    </w:p>
    <w:p>
      <w:r>
        <w:rPr>
          <w:b/>
        </w:rPr>
        <w:t>E. 1</w:t>
      </w:r>
    </w:p>
    <w:p>
      <w:r>
        <w:t>Approuvée par le Procureur général le 20 mars 2014, l’ordonnance attaquée a été notifiée aux plaignants et prévenus, par leurs conseils respectifs, par plis mis à la poste le même jour, l’envoi destiné au recourant ayant été reçu par son mandataire le mardi 25 mars 2014 selon l’allégué crédible de la partie. Interjeté le 3 avril 2014, le recours l’a été dans le délai légal (art. 322 al. 2 et 396 al. 1 CPP [Code de procédure pénale suisse du 5 octobre 2007; RS 312.0]), contre une décision du Ministère public (art. 393 al. 1 let. a CPP), par une partie plaignante qui a qualité pour recourir (art. 382 al. 1 CPP). Interjeté dans les formes prescrites (art. 385 al. 1 CPP), le recours est ainsi recevable quand bien même ses conclusions ne précisent pas expressément si elles tendent à la modification ou à l’annulation de l’ordonnance.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a) Aux termes de l'art. 173 ch. 1 CP (Code pénal;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ATF 117 IV 27 c. 2c). Tant la diffamation que la calomnie sont des infractions intentionnelles (Corboz, Les infractions en droit suisse, 3 e éd., vol. I, Berne 2010, n. 48 ad art. 173 CP, p. 591, et n. 11 ad art. 174, p. 611), la seconde se distinguant de la première en ce sens qu'un élément subjectif supplémentaire doit être réalisé, à savoir que l'auteur sait – le dol éventuel n'est pas suffisant – que le fait qu'il allègue est faux (Corboz, op. cit., n. 1, p. 611; Favre/Pellet/Stoudmann, Code pénal annoté, 3 e éd., Lausanne 2007, n. 1.1 ad art. 174 CP). b)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 592).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c) En l’espèce, il doit être statué en l’état du dossier, dès lors que l’on ne discerne pas quelle mesure d’instruction complémentaire pourrait établir plus avant des faits aussi anciens, s’agissant surtout de déterminer l’origine et le moment d’un éventuel dommage sur le pare-brise du véhicule de la prévenue. Les photographies versées au dossier ne permettent aucune déduction probante à cet égard. Le recourant ne requiert du reste sérieusement aucune autre mesure d’investigation, alors même que la pièce en question est encore entreposée dans son atelier. Il admet que la réparation du toit ouvrant du véhicule avait initialement été prévue à titre gratuit, mais ajoute qu’il s’était ravisé après avoir eu connaissance des propos tenus par la prévenue à l’adresse de l’assureur. Il soutient que ces assertions seraient attentatoires à son honneur dans la mesure où elles comportent un soupçon de fraude à l’assurance. Sans retirer son allégation selon laquelle le pare-brise était endommagé et que la prévenue lui avait demandé de le remplacer, il soutient que les soupçons de celle-ci porteraient atteinte à son honneur même s’«il n’est pas finalement pas déterminant que les faits à propos desquels (la prévenue) a propagé ses soupçons soient faux ou avérés» (recours, p. 4). Prêter à quiconque, en particulier à un artisan dans l’exercice de sa profession, un dessein de fraude à l’assurance, respectivement de tentative d’une telle fraude, est en soi attentatoire à l’honneur, étant précisé que l’assureur est un tiers au sens légal. La question déterminante en droit est celle de l’apport des preuves libératoires. La prévenue n’a pas vu d’impact sur son pare-brise, qu’elle tenait pour intact. Les deux témoins entendus ont confirmé sans réserve que la pièce était en parfait état. Il ne saurait donc être retenu en fait que la prévenue ait passé commande d’un nouveau pare-brise, ni même qu’il ait existé une quelconque raison légitime de changer cette pièce, hormis l’hypothèse – du reste envisagée par l’un des inspecteurs d’assurance – d’un dommage survenu à l’atelier après la remise de la voiture. La prévenue a donc apporté la preuve de sa bonne foi au sens de l’art. 173 ch. 2 CP, sinon celle de la vérité, ce d’autant qu’en définitive, le plaignant a remboursé l’assureur.</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990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10 mars 2014 est confirmée. III. Les frais du présent arrêt, par 990 fr. (neuf cent nonante francs), sont mis à la charge de W.________. IV. L’arrêt est exécutoire. Le président :               Le greffier : Du L'arrêt qui précède, dont la rédaction a été approuvée à huis clos, est notifié, par l'envoi d'une copie complète, à : - M. Christian Grossi, avocat (pour W.________), - M. Alexis Turin, avocat (pour R.________),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