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629 vom 16. Juli 2014</w:t>
      </w:r>
    </w:p>
    <w:p>
      <w:r>
        <w:t>VD Tribunal cantonal, 2014-07-16, FR</w:t>
      </w:r>
    </w:p>
    <w:p>
      <w:r>
        <w:rPr>
          <w:b/>
        </w:rPr>
        <w:t xml:space="preserve">Quelle: </w:t>
      </w:r>
      <w:r>
        <w:t>https://mcp.opencaselaw.ch/entscheid/vd_findinfo_D_cision___2014___629</w:t>
      </w:r>
    </w:p>
    <w:p>
      <w:r>
        <w:t>FR: VD_FINDINFO Décision / 2014 / 629 du 16 juillet 2014</w:t>
      </w:r>
    </w:p>
    <w:p>
      <w:r>
        <w:t>IT: VD_FINDINFO Décision / 2014 / 629 del 16 luglio 2014</w:t>
      </w:r>
    </w:p>
    <w:p>
      <w:pPr>
        <w:pStyle w:val="Heading2"/>
      </w:pPr>
      <w:r>
        <w:t>Regeste</w:t>
      </w:r>
    </w:p>
    <w:p>
      <w:r>
        <w:t>RETRAIT{VOIE DE DROIT}, RADIATION DU RÔLE, ASSISTANCE JUDICIAIRE, AVOCAT D'OFFICE, INDEMNITÉ ÉQUITABLE | 18 al. 5 LPA-VD, 94 al. 1 let. c LPA-VD, 118 al. 1 let. c CPC (CH), 2 al. 1 RAJ</w:t>
      </w:r>
    </w:p>
    <w:p>
      <w:pPr>
        <w:pStyle w:val="Heading2"/>
      </w:pPr>
      <w:r>
        <w:t>Erwägungen</w:t>
      </w:r>
    </w:p>
    <w:p>
      <w:r>
        <w:rPr>
          <w:b/>
        </w:rPr>
        <w:t>E. 50</w:t>
      </w:r>
    </w:p>
    <w:p>
      <w:r>
        <w:t>fr., dès et y compris le 1 er avril 2014, que les avocats désignés ont droit au remboursement de leurs débours et à des indemnités, que l'indemnité doit être fixée eu égard aux opérations nécessaires pour la conduite du procès et en considération de l'importance de la cause, de ses difficultés, de l'ampleur du travail et du temps consacré par le conseil juridique commis d'office (art. 2 RAJ [règlement vaudois du 7 décembre 2010 sur l'assistance judiciaire en matière civile ; RSV 211.02.3], par renvoi de l’art. 18 al. 5 LPA-VD), que, s'agissant des honoraires de l'avocat commis d'office, le Tribunal fédéral part d'un tarif horaire de l'ordre de 180 fr. comme règle de base (ATF 132 I 201 ; art. 2 al. 1 let. a RAJ), qu'en l'occurrence, Me Olivier Carré a chiffré, dans sa liste des opérations du 14 juillet 2014, à 7 heures et 15 minutes le temps consacré à ce dossier, que ce temps est conforme à l'étendue des opérations nécessaires à la conduite de ce procès, qu'il convient donc d'arrêter l'indemnité de l’avocat d'office à 1'306 fr. 80 (7h15 x 180 fr.), auxquels s'ajoutent 50 fr. de débours et 108 fr. 55 de TVA, soit à 1'465 fr. 35 au total, que ce montant sera supporté provisoirement par l’Etat, la partie bénéficiaire étant tenue à remboursement dès qu'elle sera en mesure de le faire (art. 122 al. 1 let. a et b et 123 al. 1 CPC, par renvoi de l’art. 18 al. 5 LPA-VD), qu’il incombera au Service juridique et législatif du canton de Vaud de fixer les modalités de ce remboursement (art. 5 RAJ, par renvoi de l’art. 18 al. 5 LPA-VD), en tenant compte des montants éventuellement payés à titre de franchise depuis le début de la procédure. Par ces motifs, la juge unique prononce : I. La cause est rayée du rôle par suite de retrait du recours. II. Il n’est pas perçu de frais judiciaires ni alloué de dépens. III. L'indemnité d'office de Me Olivier Carré, avocat de K.________, est arrêtée à 1'465 fr. 35 (mille quatre cent soixante-cinq francs et trente-cinq centimes), débours et TVA compris. IV. K.________ est, dans la mesure de l'art. 123 CPC, applicable par renvoi de l'art. 18 al. 5 LPA-VD, tenu au remboursement de l'indemnité du conseil d'office mise à la charge de l'Etat. La juge unique :               La greffière : Du La décision qui précède est notifiée à : - M. Olivier Carré, avocat (pour K.________),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