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628 vom 5. Mai 2014</w:t>
      </w:r>
    </w:p>
    <w:p>
      <w:r>
        <w:t>VD Tribunal cantonal, 2014-05-05, FR</w:t>
      </w:r>
    </w:p>
    <w:p>
      <w:r>
        <w:rPr>
          <w:b/>
        </w:rPr>
        <w:t xml:space="preserve">Quelle: </w:t>
      </w:r>
      <w:r>
        <w:t>https://mcp.opencaselaw.ch/entscheid/vd_findinfo_D_cision___2014___628</w:t>
      </w:r>
    </w:p>
    <w:p>
      <w:r>
        <w:t>FR: VD_FINDINFO Décision / 2014 / 628 du 5 mai 2014</w:t>
      </w:r>
    </w:p>
    <w:p>
      <w:r>
        <w:t>IT: VD_FINDINFO Décision / 2014 / 628 del 5 maggio 2014</w:t>
      </w:r>
    </w:p>
    <w:p>
      <w:pPr>
        <w:pStyle w:val="Heading2"/>
      </w:pPr>
      <w:r>
        <w:t>Regeste</w:t>
      </w:r>
    </w:p>
    <w:p>
      <w:r>
        <w:t>CLASSEMENT DE LA PROCÉDURE, QUALITÉ POUR RECOURIR | 144bis CP, 319 CPP (CH)</w:t>
      </w:r>
    </w:p>
    <w:p>
      <w:pPr>
        <w:pStyle w:val="Heading2"/>
      </w:pPr>
      <w:r>
        <w:t>Erwägungen</w:t>
      </w:r>
    </w:p>
    <w:p>
      <w:r>
        <w:rPr>
          <w:b/>
        </w:rPr>
        <w:t>E. 1</w:t>
      </w:r>
    </w:p>
    <w:p>
      <w:r>
        <w:t>CPP), de sorte qu’il est recevable en la forme.</w:t>
      </w:r>
    </w:p>
    <w:p>
      <w:r>
        <w:rPr>
          <w:b/>
        </w:rPr>
        <w:t>E. 2</w:t>
      </w:r>
    </w:p>
    <w:p>
      <w:r>
        <w:t>a) 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Commentaire romand, Code de procédure pénale suisse, Bâle 2011, n. 1 ad art. 382 CPP; Lieber, in : Donatsch/Hansjakob/Lieber [éd.], Kommentar zum Schweizerischen Strafprozessordnung, Zurich 2010, n. 7 ad art. 382 CPP et la réf. cit.).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 b) En l'espèce, seul le titulaire des données électroniques figurant sur le site « E.________ » peut avoir la qualité de lésé, ce que la recourante n’est manifestement pas. Celle-ci ne pouvait se plaindre d'une modification des données concernant son restaurant sur ce site et n’a dès lors pas d'intérêt juridiquement protégé à l'annulation ou à la modification de la décision attaquée.</w:t>
      </w:r>
    </w:p>
    <w:p>
      <w:r>
        <w:rPr>
          <w:b/>
        </w:rPr>
        <w:t>E. 3</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de T.________ (art. 428 al. 1 CPP). Par ces motifs, la Chambre des recours pénale, statuant à huis clos, prononce : I. Le recours est irrecevable. II. Les frais d’arrêt, par 440 fr. (quatre cent quarante francs), sont mis à la charge de T.________. III. Le présent arrêt est exécutoire. Le président :               La greffière : Du L'arrêt qui précède, dont la rédaction a été approuvée à huis clos, est notifié, par l'envoi d'une copie complète, à : - Mme T.________, - Mme B.________,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