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627 vom 11. Juli 2014</w:t>
      </w:r>
    </w:p>
    <w:p>
      <w:r>
        <w:t>VD Tribunal cantonal, 2014-07-11, FR</w:t>
      </w:r>
    </w:p>
    <w:p>
      <w:r>
        <w:rPr>
          <w:b/>
        </w:rPr>
        <w:t xml:space="preserve">Quelle: </w:t>
      </w:r>
      <w:r>
        <w:t>https://mcp.opencaselaw.ch/entscheid/vd_findinfo_D_cision___2014___627</w:t>
      </w:r>
    </w:p>
    <w:p>
      <w:r>
        <w:t>FR: VD_FINDINFO Décision / 2014 / 627 du 11 juillet 2014</w:t>
      </w:r>
    </w:p>
    <w:p>
      <w:r>
        <w:t>IT: VD_FINDINFO Décision / 2014 / 627 del 11 luglio 2014</w:t>
      </w:r>
    </w:p>
    <w:p>
      <w:pPr>
        <w:pStyle w:val="Heading2"/>
      </w:pPr>
      <w:r>
        <w:t>Regeste</w:t>
      </w:r>
    </w:p>
    <w:p>
      <w:r>
        <w:t>DÉTENTION PROVISOIRE, RISQUE DE FUITE, RISQUE DE RÉCIDIVE | 221 al. 1 let. a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b) En l’espèce, le recourant ne conteste pas l'existence de présomptions de culpabilité suffisantes. On se bornera à rappeler que lors de son interrogatoire de police du 10 juillet 2014, il a admis s’être fait remettre, sous la menace d’un couteau, le contenu de la caisse d’une station service, laquelle caisse renfermait 3'689 fr. et 100 euros (P. 5).</w:t>
      </w:r>
    </w:p>
    <w:p>
      <w:r>
        <w:rPr>
          <w:b/>
        </w:rPr>
        <w:t>E. 3</w:t>
      </w:r>
    </w:p>
    <w:p>
      <w:r>
        <w:t>Le Tribunal des mesures de contrainte a ordonné la détention provisoire du recourant en raison du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b) En l’espèce, le recourant, né en 1982 à Belgrade, est arrivé en Suisse alors qu’il était âgé de sept ans. Après quatre ans de mariage, il a divorcé en 2012, a quitté la Suisse et s’est remarié en mars 2014 dans son pays. Une demande de visa a été déposée pour que son épouse puisse venir vivre en Suisse avec lui. Sa femme est rentrée dans son pays un mois avant l’ouverture de la présente enquête. L’intéressé est au bénéfice de l’aide sociale et travaille comme paysagiste dans le cadre d’une mesure d’insertion. Il vit chez ses parents avec ses frères et sœurs, sans payer de loyer. Il consomme en outre régulièrement de l’héroïne (PV aud. de police du 10 juillet 2014, p. 2). Bien que le recourant présente des attaches en Suisse, il convient de tenir compte de la précarité de sa situation actuelle et de la gravité des faits qui lui sont imputés. La présence de son épouse en Serbie, qui est apparemment en attente d’une décision de regroupement familial en Suisse, démontre par ailleurs qu’il a conservé des liens étroits avec son pays d’origine. Dans ces circonstances, il est à craindre que la peine importante dont le recourant est menacé ne l’incite à se dérober aux poursuites dont il est l’objet et à se réfugier en Serbie. Le risque de fuite est donc bien réel et justifie la détention provisoire du recourant.</w:t>
      </w:r>
    </w:p>
    <w:p>
      <w:r>
        <w:rPr>
          <w:b/>
        </w:rPr>
        <w:t>E. 4</w:t>
      </w:r>
    </w:p>
    <w:p>
      <w:r>
        <w:t>Le Tribunal des mesures de contrainte a ordonné la détention provisoire du recourant en raison du risque de récidive (art. 221 al. 1 let. c CPP). a)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Le risque de récidive peut également se fonder, en l’absence d’antécédents, sur les infractions faisant l'objet de la procédure pénale en cours, si le prévenu est fortement soupçonné – avec une probabilité confinant à la certitude – de les avoir commises (ATF 137 IV 84 c. 3.2 et les références citées, JT 2011 IV 325; TF 1B_38/2014 du 4 février 2014 c. 4.1 ; TF 1B_268/2013 du 29 août 2013 c. 4.1). b) En l’espèce, comme il le relève, le recourant n’a jamais commis auparavant d’infraction du genre de celle qui lui vaut les présentes poursuites pénales. On est donc apparemment en présence d’un acte isolé. Toutefois, le recourant a expliqué que son premier mariage en 2008 était un échec, qu’à partir de là, « tout a[vait] sombré », que la vie conjugale était devenue « insupportable » et qu’il avait commencé à se droguer à cette époque pour se calmer, car il pouvait « être très mauvais » s’il perdait la maîtrise de lui-même. A cet égard, il a notamment précisé : « (…) je pétais les plombs et on m’a proposé de l’héro et je suis parti là-dedans. Ces derniers temps, j’ai consommé pas mal parce que j’avais de l’héro. (…) Mais quand je pète les plombs, je me calme en fumant de la drogue. Quand je vais mal, je fume un demi-gramme par jour ce qui représente environ 50 fr. ». Il a également indiqué avoir braqué une station service « sur un coup de tête », parce qu’il était « dans la merde », qu’il avait besoin d’argent et qu’il avait employé une partie du butin pour acquérir de l’héroïne retrouvée à son domicile (PV aud. de police du 10 juillet 2014, p. 2). En raison des problèmes d’argent du recourant, de sa situation précaire, de sa dépendance à l’héroïne et de ses difficultés à garder le contrôle sur lui-même, il y a sérieusement lieu de craindre qu’il ne commette de nouvelles infractions afin d’obtenir de quoi acheter de la drogue et que, vu l’imprévisibilité de ses réactions, pour échapper à une interpellation ou sous l’effet de la panique, il ne s’en prenne à l’intégrité physique de tiers. C’est par conséquent à bon droit que le Tribunal des mesures de contrainte a retenu le risque de récidive.</w:t>
      </w:r>
    </w:p>
    <w:p>
      <w:r>
        <w:rPr>
          <w:b/>
        </w:rPr>
        <w:t>E. 5</w:t>
      </w:r>
    </w:p>
    <w:p>
      <w:r>
        <w:t>Le recourant demande qu’en lieu et place de la détention provisoire, il soit astreint à déposer son passeport serbe et à suivre une psychothérapie, dans l’attente de la mise en œuvre d’une expertise judiciaire. Ces mesures, même si elles devaient être exécutées sur une base volontaire, ne suffisent pas à prévenir les risques de fuite et de récidive. En particulier, la poursuite d’un traitement ambulatoire n’a jusqu’ici pas donné les résultats que l’on pouvait en attendre, puisque le recourant, suivi depuis 2010 par un médecin qui lui prescrit de la méthadone, a néanmoins commis une infraction pénale d’une certaine gravité alors qu’il se trouvait dans un état où il ne pensait plus à rien (cf. PV aud. de police du 10 juillet 2014, p. 7 R. 15). Pour le surplus, la proportionnalité des intérêts en présence est respectée, compte tenu de la durée de la détention provisoire subie par le recourant et de la gravité des faits dont il a à répondre (art. 212 al. 3 CPP ; ATF 133 I 168 c. 4.1 ; ATF 132 I 21 c. 4.1).</w:t>
      </w:r>
    </w:p>
    <w:p>
      <w:r>
        <w:rPr>
          <w:b/>
        </w:rPr>
        <w:t>E. 6</w:t>
      </w:r>
    </w:p>
    <w:p>
      <w:r>
        <w:t>En définitive, le recours, manifestement mal fondé (art. 390 al. 2 CPP), doit être rejeté sans autres échanges d’écritures et l'ordonnance du 11 juillet 2014 confirmée. Les frais de la procédure de recours, par 660 fr. (art. 20 al. 1 TFIP [Tarif des frais de procédure et indemnités en matière pénale du 28 septembre 2010, RSV 312.03.1]), ainsi que les frais imputables à la défense d’office (art. 422 al. 1 et al. 2 let. a CPP), fixés à 540 fr., plus la TVA, par 43 fr. 20, soit 583 fr. 20 au total, seront mis à la charge du recourant, qui succombe (art. 428 al. 1 CPP). Par ces motifs, la Chambre des recours pénale, statuant à huis clos, prononce : I. Le recours est rejeté. II. L’ordonnance du 11 juillet 2014 est confirmée. III. L’indemnité allouée au défenseur d’office de O.________ est fixée à 583 fr. 20 (cinq cent huitante-trois francs et vingt centimes). IV. Les frais d’arrêt, par 660 fr. (six cent soixante francs), ainsi que l’indemnité due au défenseur d’office de O.________, par 583 fr. 20 (cinq cent huitante-trois francs et vingt centimes), sont mis à la charge de ce dernier. V. Le remboursement à l’Etat de l’indemnité allouée au chiffre III ci-dessus sera exigible pour autant que la situation économique de O.________ se soit améliorée. VI. Le présent arrêt est exécutoire. Le président :               Le greffier : Du L'arrêt qui précède, dont la rédaction a été approuvée à huis clos, est notifié, par l'envoi d'une copie complète, à : - Mme Céline Jarry-Lacombe, avocate (pour O.________),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