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623 vom 7. Juli 2014</w:t>
      </w:r>
    </w:p>
    <w:p>
      <w:r>
        <w:t>VD Tribunal cantonal, 2014-07-07, FR</w:t>
      </w:r>
    </w:p>
    <w:p>
      <w:r>
        <w:rPr>
          <w:b/>
        </w:rPr>
        <w:t xml:space="preserve">Quelle: </w:t>
      </w:r>
      <w:r>
        <w:t>https://mcp.opencaselaw.ch/entscheid/vd_findinfo_D_cision___2014___623</w:t>
      </w:r>
    </w:p>
    <w:p>
      <w:r>
        <w:t>FR: VD_FINDINFO Décision / 2014 / 623 du 7 juillet 2014</w:t>
      </w:r>
    </w:p>
    <w:p>
      <w:r>
        <w:t>IT: VD_FINDINFO Décision / 2014 / 623 del 7 luglio 2014</w:t>
      </w:r>
    </w:p>
    <w:p>
      <w:pPr>
        <w:pStyle w:val="Heading2"/>
      </w:pPr>
      <w:r>
        <w:t>Regeste</w:t>
      </w:r>
    </w:p>
    <w:p>
      <w:r>
        <w:t>DÉFENSE D'OFFICE, CONDITION DE RECEVABILITÉ, OBJET DU RECOURS | 132 CPP (CH), 393 al. 1 let. b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w:t>
      </w:r>
    </w:p>
    <w:p>
      <w:r>
        <w:t>Dans son arrêt du 10 juin 2014, le Tribunal fédéral a admis l’existence d’une voie de droit contre un prononcé de la direction de la procédure du tribunal pénal de première instance refusant, avant l’ouverture des débats devant lui, de nommer un défenseur d’office au prévenu, considérant qu’un tel refus était de nature à causer un préjudice irréparable à l’intéressé (c. 2.2).</w:t>
      </w:r>
    </w:p>
    <w:p>
      <w:r>
        <w:rPr>
          <w:b/>
        </w:rPr>
        <w:t>E. 3</w:t>
      </w:r>
    </w:p>
    <w:p>
      <w:r>
        <w:t>Il ressort du dossier que le recourant fait l’objet une curatelle de portée générale conformément à l’art. 398 CC (Code civil suisse ; RS 310). Une telle mesure est instituée en raison notamment d’une incapacité durable de la personne concernée. Or, en l’espèce, rien ne permet de supposer que le recourant serait privé de discernement, étant précisé que la capacité de discernement est généralement présumée (Braconi/Carron/Scyboz, Code civil suisse et Code des obligations annotés, 9 e éd., Bâle 2013, arrêts cités ad art. 16 CC, p. 28). Au contraire, le contenu de ses écritures s’avère compréhensible et tout à fait sensé. Le recourant pouvait donc agir seul, malgré la mesure de curatelle dont il est l’objet (cf. art. 19c al. 2 CC ; CREP 6 décembre 2013/776, et les références citées). Il convient dès lors d’entrer en matière sur le recours de Q.________.</w:t>
      </w:r>
    </w:p>
    <w:p>
      <w:r>
        <w:rPr>
          <w:b/>
        </w:rPr>
        <w:t>E. 4</w:t>
      </w:r>
    </w:p>
    <w:p>
      <w:r>
        <w:t>a) aa) Le prévenu doit avoir un défenseur (« défense obligatoire ») notamment – les autres cas de défense obligatoire de l’art. 130 CPP n’étant pas envisageables –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(Harari/Aliberti, in: Kuhn/Jeanneret (éd.), Commentaire romand, Code de procédure pénale suisse, Bâle 2011, n. 30 ad art. 130 CPP).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 31-32 ad art. 130 CPP). En cas de défense obligatoire au sens de l’art. 130 CPP, la direction de la procédure pourvoit à ce que le prévenu soit assisté aussitôt d’un défenseur (art. 131 CPP), en ordonnant le cas échéant une défense d’office (cf. art. 132 al. 1 let. a CPP). bb) En l'espèce, il ressort d’un certificat médical du 15 août 2013 versé au dossier que le recourant suit une psychothérapie depuis le 7 juin 2012 en raison d’une maladie psychique chronique. La curatelle de portée générale instituée en sa faveur va également dans le sens d’une grande fragilité psychologique. Le recourant a toutefois un représentant légal en la personne de son curateur. Il n’y a aucun élément suggérant que celui-ci ne serait pas en mesure de l’assister efficacement dans une affaire qui peut incontestablement être qualifiée de simple. Les conditions d'une défense obligatoire au sens de l’art. 130 let. c CPP ne sont par conséquent pas réunies. b) aa) En dehors des cas de défense obligatoire,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bb) En l’espèce, par ordonnance pénale du 23 octobre 2013, le recourant a été condamné pour infraction et contravention à la LStup à une peine privative de liberté de 30 jours, le sursis accordé le 17 avril 2012 par le Ministère public de l’arrondissement de Lausanne n’ayant pas été révoqué. Il lui était reproché d’avoir fumé de la marijuana durant une durée indéterminée et vendu un morceau de haschisch pour 5 fr. à un toxicomane qui l’a reconnu et mis en cause. Force est donc de constater que la cause ne présente aucune difficulté particulière en fait et en droit, si bien que le recourant est capable de se défendre utilement sans l’assistance d’un avocat, ainsi qu’il l’a démontré dans ses différents écrits ; au besoin, il lui sera loisible de solliciter l’appui de son représentant légal. Il s’agit de surcroît d’une affaire de peu de gravité, l’intéressé, vu la peine qui lui a été infligée par ordonnance pénale, n’étant pas exposé à une peine privative de liberté de plus de quatre mois. Les conditions de l’art. 132 al. 1 let. b CPP ne sont donc pas non plus réunies. Au vu de ce qui précède, c’est à bon droit que la désignation d’un défenseur d’office a été refusée au recourant.</w:t>
      </w:r>
    </w:p>
    <w:p>
      <w:r>
        <w:rPr>
          <w:b/>
        </w:rPr>
        <w:t>E. 5</w:t>
      </w:r>
    </w:p>
    <w:p>
      <w:r>
        <w:t>En définitive, le recours doit être rejeté et le prononcé attaqué confirmé.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11 novembre 2013 est confirmé. III. Les frais d’arrêt, par 660 fr. (six cent soixante francs), sont mis à la charge de Q.________. IV. Le présent arrêt est exécutoire. Le président :               Le greffier : Du L'arrêt qui précède, dont la rédaction a été approuvée à huis clos, est notifié, par l'envoi d'une copie complète, à : - M. Q.________, - Office des curatelles et tutelles professionnelles, - Ministère public central, et communiqué à : - M. le Président du Tribunal d’arrondissement de Lausanne, - Mme Marie-Pomme Moinat, avocate (pour Q.________),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