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620 vom 16. Juli 2014</w:t>
      </w:r>
    </w:p>
    <w:p>
      <w:r>
        <w:t>VD Tribunal cantonal, 2014-07-16, FR</w:t>
      </w:r>
    </w:p>
    <w:p>
      <w:r>
        <w:rPr>
          <w:b/>
        </w:rPr>
        <w:t xml:space="preserve">Quelle: </w:t>
      </w:r>
      <w:r>
        <w:t>https://mcp.opencaselaw.ch/entscheid/vd_findinfo_D_cision___2014___620</w:t>
      </w:r>
    </w:p>
    <w:p>
      <w:r>
        <w:t>FR: VD_FINDINFO Décision / 2014 / 620 du 16 juillet 2014</w:t>
      </w:r>
    </w:p>
    <w:p>
      <w:r>
        <w:t>IT: VD_FINDINFO Décision / 2014 / 620 del 16 luglio 2014</w:t>
      </w:r>
    </w:p>
    <w:p>
      <w:pPr>
        <w:pStyle w:val="Heading2"/>
      </w:pPr>
      <w:r>
        <w:t>Regeste</w:t>
      </w:r>
    </w:p>
    <w:p>
      <w:r>
        <w:t>DÉTENTION PROVISOIRE, PROLONGATION, RISQUE DE FUITE, RISQUE DE COLLUSION | 221 al. 1 let. a CPP (CH), 221 al. 1 let. b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la détenue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c) En l’espèce, la recourante a admis avoir livré trois toxicomanes pour le compte de son ami, à raison d’une quantité totale de 125 g d’héroïne et de 4 g de cocaïne. A cela s’ajoute que H.________, toxicomane, a mis en cause V.________ pour lui avoir vendu d’importantes quantités de cocaïne et a également mis en cause P.________ pour avoir été présente lors de certaines transactions, ainsi que pour lui avoir remis, à une occasion, 35 g d’héroïne et 1 g de cocaïne. Enfin, les empreintes digitales et l’ADN de la recourante ont été retrouvés sur trois « pains » de 500 g d’héroïne saisis, sur un rouleau de papier aluminium, ainsi que sur un sachet noir pour « pain » coupé. Au vu de l’ensemble de ces éléments, il existe contre la recourante des présomptions de culpabilité suffisantes qui portent non seulement sur les faits admis, mais aussi sur la participation de l’intéressée à un trafic d’au moins 1,5 kg d’héroïne. Certes, dans son recours, cette dernière discute les quantités de drogue qu’elle aurait transportée ou vendue, indique les motifs pour lesquels elle n’aurait qu’un rôle accessoire et plaide ainsi le fond. Cela ne relève cependant pas de la compétence de la cour de céans, mais de celle du juge du fond.</w:t>
      </w:r>
    </w:p>
    <w:p>
      <w:r>
        <w:rPr>
          <w:b/>
        </w:rPr>
        <w:t>E. 3</w:t>
      </w:r>
    </w:p>
    <w:p>
      <w:r>
        <w:t>a) La recourante conteste d’abord le risque de fuite (art. 221 al. 1 let. a CPP).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c) En l'espèce, s'agissant d'une prévenue ressortissante d’Albanie, sans autorisation de séjour, sans domicile connu et sans aucune attache avec la Suisse, il existe un risque concret que P.________ tente de se soustraire aux poursuites pénales en cas de libération. Au vu de ces éléments, le risque de fuite apparaît non seulement possible, mais également probable (TF 1B_414/2011 du 5 septembre 2011 c. 3.1). Le fait que la recourante serait, selon elle, plus en sécurité en Suisse qu’en Albanie pourrait certes la dissuader de partir à l’étranger, mais ne saurait empêcher que l’intéressée entre dans la clandestinité pour échapper à une sanction. Il en va de même s’agissant de la mesure de substitution invoquée par la recourante, soit l'assignation dans un lieu à déterminer et l’obligation de se soumettre à un contrôle régulier. Enfin, aucune autre mesure de substitution ne saurait pallier le risque de fuite.</w:t>
      </w:r>
    </w:p>
    <w:p>
      <w:r>
        <w:rPr>
          <w:b/>
        </w:rPr>
        <w:t>E. 4</w:t>
      </w:r>
    </w:p>
    <w:p>
      <w:r>
        <w:t>a) La recourante conteste ensuite le risque de collusion (art. 221 al. 1 let. b CPP).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des mesures d’instruction visant à confirmer les soupçons à l’égard de la recourante sont actuellement en cours. Il s’agit principalement d’entendre les clients toxicomanes, d’identifier et d’interpeller les fournisseurs. Il y a également lieu d’investiguer les empreintes et l’ADN de la recourante retrouvée sur la drogue. Le résultat des investigations précitées pourrait être compromis si la recourante venait à être remise en liberté. En effet, il est fort à craindre qu’en cas de libération, elle se concerte avec des tiers ou fasse disparaître des preuves, en vue de faire obstacle à la manifestation de la vérité. Au vu de ce qui précède, le risque de collusion s'oppose en l’état à la levée de la détention provisoire de la recourante. En outre, aucune mesure de substitution ne saurait éliminer ce risque.</w:t>
      </w:r>
    </w:p>
    <w:p>
      <w:r>
        <w:rPr>
          <w:b/>
        </w:rPr>
        <w:t>E. 5</w:t>
      </w:r>
    </w:p>
    <w:p>
      <w:r>
        <w:t>Enfin, selon la recourante, le fait que le Tribunal des mesures de contrainte ait indiqué dans sa motivation qu’il n’y avait pas d’éléments nouveaux était « une reconnaissance que  l’enquête piétine ». Le Ministère public ne pourrait dès lors « se permettre d’enfermer les gens sans limite de durée alors qu’il est incapable d’apporter des éléments nouveaux ». Il s’agit toutefois de remettre les éléments dans leur contexte. L’ordonnance attaquée conclut que, « par surabondance, aucun élément nouveau ne vient contredire ou modifier l’ordonnance du 5 avril 2014 sur ces points [sur les risques de fuite et de collusion], de sorte que l’on pourra intégralement s’y référer ». Le premier juge ne fait donc que confirmer les motifs invoqués pour justifier la détention dans une précédente ordonnance, sans se prononcer sur l’avancement de l’enquête. Ce procédé est d’ailleurs conforme à la jurisprudence. Quant à la critique liée au fait que le Ministère public ne peut « enfermer les gens sans limite de durée », elle tombe à faux puisque la durée de la prolongation a été fixée à trois mois.</w:t>
      </w:r>
    </w:p>
    <w:p>
      <w:r>
        <w:rPr>
          <w:b/>
        </w:rPr>
        <w:t>E. 6</w:t>
      </w:r>
    </w:p>
    <w:p>
      <w:r>
        <w:t>a) Enfin,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P.________ est détenue depuis le 4 avril 2014, soit depuis près de trois mois et demi. Compte tenu de la gravité de l’infraction qui lui est reprochée, soit sa participation à un trafic important de stupéfiants, la recourante s'expose à une peine d’une durée manifestement supérieure à celle de la détention provisoire subie à ce jour. Le principe de la proportionnalité demeure donc respecté.</w:t>
      </w:r>
    </w:p>
    <w:p>
      <w:r>
        <w:rPr>
          <w:b/>
        </w:rPr>
        <w:t>E. 7</w:t>
      </w:r>
    </w:p>
    <w:p>
      <w:r>
        <w:t>Il résulte de ce qui précède que le recours, manifestement mal fondé, doit être rejeté sans autres échanges d’écritures. Les frais de la procédure de recours, constitués en l’espèce de l'émolument d'arrêt (art. 422 al. 1 CPP), par 770 fr. (art. 20 al. 1 TFIP [Tarif des frais de procédure et indemnités en matière pénale du 28 septembre 2010; RSV 312.03.1]), et des frais imputables à la défense d'office de la recourante (art. 422 al. 1 et 2 let. a CPP), fixés à 540 fr., plus la TVA par 43 fr. 20, soit à 583 fr. 20 au total, seront mis à la charge de cette dernière,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30 juin 2014  est confirmée. III. L'indemnité allouée au défenseur d'office de P.________ est fixée à 583 fr. 20 (cinq cent huitante-trois francs et vingt centimes). IV. Les frais du présent arrêt, par 770 fr. (sept cent septante francs), ainsi que l'indemnité due au défenseur d'office de P.________, par 583 fr. 20 (cinq cent huitante-trois francs et vingt centimes), sont mis à la charge de cette dernière. V. Le remboursement à l'Etat de l'indemnité allouée au chiffre III ci-dessus sera exigible pour autant que la situation de P.________ se soit améliorée. VI. Le présent arrêt est exécutoire. Le président :               La greffière : Du L'arrêt qui précède, dont la rédaction a été approuvée à huis clos, est notifié, par l'envoi d'une copie complète, à : - Mme Françoise Trümpy-Waridel, avocate (pour P.________),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