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 vom 24. Januar 2014</w:t>
      </w:r>
    </w:p>
    <w:p>
      <w:r>
        <w:t>VD Tribunal cantonal, 2014-01-24, FR</w:t>
      </w:r>
    </w:p>
    <w:p>
      <w:r>
        <w:rPr>
          <w:b/>
        </w:rPr>
        <w:t xml:space="preserve">Quelle: </w:t>
      </w:r>
      <w:r>
        <w:t>https://mcp.opencaselaw.ch/entscheid/vd_findinfo_D_cision___2014___62</w:t>
      </w:r>
    </w:p>
    <w:p>
      <w:r>
        <w:t>FR: VD_FINDINFO Décision / 2014 / 62 du 24 janvier 2014</w:t>
      </w:r>
    </w:p>
    <w:p>
      <w:r>
        <w:t>IT: VD_FINDINFO Décision / 2014 / 62 del 24 gennaio 2014</w:t>
      </w:r>
    </w:p>
    <w:p>
      <w:pPr>
        <w:pStyle w:val="Heading2"/>
      </w:pPr>
      <w:r>
        <w:t>Regeste</w:t>
      </w:r>
    </w:p>
    <w:p>
      <w:r>
        <w:t>RISQUE DE FUITE, RISQUE DE COLLUSION, PROLONGATION, DÉTENTION PROVISOIRE | 221 al. 1 let. a CPP (CH), 221 al. 1 let. b CPP (CH), 393 al. 1 let. c CPP (CH)</w:t>
      </w:r>
    </w:p>
    <w:p>
      <w:pPr>
        <w:pStyle w:val="Heading2"/>
      </w:pPr>
      <w:r>
        <w:t>Volltext</w:t>
      </w:r>
    </w:p>
    <w:p>
      <w:r>
        <w:t>Vaud Tribunal cantonal Chambre des recours pénale 24.01.2014 Décision / 2014 / 62</w:t>
      </w:r>
    </w:p>
    <w:p>
      <w:r>
        <w:t>RISQUE DE FUITE, RISQUE DE COLLUSION, PROLONGATION, DÉTENTION PROVISOIRE | 221 al. 1 let. a CPP (CH), 221 al. 1 let. b CPP (CH), 393 al. 1 let. c CPP (CH)</w:t>
      </w:r>
    </w:p>
    <w:p>
      <w:r>
        <w:t>TRIBUNAL CANTONAL 57 PE13.018169-PHK CHAMBRE DES RECOURS PENALE __________________________________________ Séance du 24 janvier 2014 __________________ Présidence de               M. Abrecht , président Juges :              MM. Krieger et Maillard Greffière :              Mme Saghbini ***** Art. 221 al. 1 let. a et b, 393 al. 1 let. c CPP La Chambre des recours pénale prend séance à huis clos pour statuer sur le recours interjeté le 21 janvier 2014 par A.________ contre l’ordonnance de prolongation de la détention provisoire rendue le 10 janvier 2014 par le Tribunal des mesures de contrainte dans la cause n° PE13.018169-PHK . Elle considère : E n f a i t : A. a) A.________ a été appréhendé par la police le 17 octobre 2013. Une instruction pénale a été ouverte contre lui par le Ministère public de l’arrondissement du Nord vaudois pour infraction grave à la loi fédérale sur les stupéfiants (LStup ; RS 812.121). A.________ serait impliqué dans un trafic de cocaïne se déroulant dans la région de Payerne. On lui reproche concrètement d’être le principal fournisseur en cocaïne de B.________, lequel est soupçonné d’approvisionner en drogue les dealers de la région et d’avoir trafiqué une quantité de cocaïne comprise entre environ 677 et 882 grammes. B. Par ordonnance du 19 octobre 2013, le Tribunal des mesures de contrainte a ordonné la détention provisoire d’A.________ pour une durée maximale de trois mois, soit au plus tard jusqu’au 17 janvier 2014, retenant les risques de fuite et de collusion. Par demande du 6 janvier 2014, le Ministère public de l’arrondissement du Nord vaudois a requis la prolongation de la détention provisoire d’A.________ pour une nouvelle période de trois mois, soit jusqu’au 17 avril 2014, invoquant les risques de fuite et de collusion. Par courrier du 10 janvier 2014, A.________, par l’entremise de son défenseur d’office, a conclu au rejet de la demande de prolongation de la détention provisoire et à sa mise en liberté immédiate, subsidiairement à ce que, si la prolongation de sa détention devait être prononcée, celle-ci soit limitée à un mois. Par ordonnance du 10 janvier 2014, le Tribunal des mesures de contrainte a ordonné la prolongation de la détention provisoire d’A.________ (I), a fixé la durée maximale de la prolongation à trois mois, soit au plus tard jusqu’au 17 avril 2014 (II), et a dit que les frais de la décision suivaient le sort de la cause (III). A l’appui de sa décision, il a retenu que des soupçons suffisants pesaient sur le prévenu et qu’il existait des risques concrets de fuite et de collusion. Il a précisé à cet égard qu’aucun élément nouveau ne contredisait ni ne modifiait l’ordonnance du 19 octobre 2013. Il a ajouté que la durée de la détention provisoire restait proportionnée au vu de la peine susceptible d'être prononcée en cas de condamnation et qu'aucune mesure de substitution n'offrait de garanties suffisantes. C. Par acte du 21 janvier 2014, A.________ a recouru auprès de la Chambre de recours pénale contre l’ordonnance du 10 janvier 2014 en concluant, sous suite de frais et dépens, principalement à l’annulation de ladite ordonnance et à sa mise en liberté immédiate, subsidiairement à ce que le chiffre II de l’ordonnance précitée soit réformé en ce sens que la durée maximale de la détention provisoire est fixée à un mois, soit au plus tard jusqu’au 17 février 2014. En substance, A.________ conteste exclusivement l’existence de soupçons suffisants de culpabilité. Il soutient que l’enquête ouverte depuis plusieurs mois n’aurait pas fourni de preuve concrète permettant de fonder de graves soupçons de culpabilité à son encontre qui justifieraient la prolongation de sa détention. A ce titre, A.________ avance qu’il ne ressortirait pas des conversations téléphoniques que celles-ci portaient sur de la drogue, encore moins sur un trafic, et que, quand bien même elles seraient considérées avoir un lien avec des stupéfiants, elles n’avaient pas pu être liées à une quelconque saisie de drogue ou à un flagrant délit l’impliquant personnellement. Enfin, l’intéressé estime qu’aucune mesure d’instruction supplémentaire ne s’imposerait ou ne se justifierait, l’instruction ne le concernant nullement. E n d r o i t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2.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pp. 1024 ss). b) En l’espèce, le recourant conteste certes son implication dans le trafic de stupéfiants. Toutefois, le 17 octobre 2013, à Payerne, A.________ a été interpellé alors qu’il avait pris la fuite et se cachait dans une grange, ensuite d’une surveillance et d’une intervention policières qui ont mené à son interpellation, de même qu’à celle de plusieurs individus, ainsi qu’à la saisie de stupéfiants. Il ressort du rapport de police établi le même jour que la sacoche d’A.________ avait été retrouvée dans la chambre qu’occupait B.________ à l’hôtel de la Croix blanche, pièce dans laquelle avaient été retrouvées onze boulettes de cocaïne. De plus, il y a lieu de relever que le recourant avait été à plusieurs reprises contrôlé à bord de trains TGV, notamment le 7 août 2013. Le jour en question, il détenait sur lui les sommes de 3'080 francs et 235 euros ; un prélèvement avait été effectué sur ses bras et son cou et s’était révélé positif à la cocaïne. Enfin, le contenu, le langage et le contexte des conversations téléphoniques surveillées ainsi que le fait qu’A.________ était le seul contact de B.________ à l’étranger étayent les soupçons formés à l’égard du recourant s’agissant de son implication dans le trafic de stupéfiants incriminé. Compte tenu de ce qui précède, il existe donc des indices suffisants permettant de penser qu’A.________ est impliqué dans les faits dénoncés. Par conséquent, il existe contre le recourant des présomptions de culpabilité suffisantes. 3. L’ordonnance entreprise se fonde en premier lieu sur le risque de fuite (art. 221 al. 1 let. a CPP).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En l’espèce, s'agissant d’un prévenu ressortissant de Guinée, habitant en France et sans aucune attache particulière avec la Suisse, il existe un risque concret qu’A.________ tente de se soustraire aux poursuites pénales en cas de libération. Le fait que l’intéressé ait exposé, dans son audition du 17 octobre 2013 par la police, qu’il avait une compagne en Suisse et qu’il souhaitait y séjourner afin de trouver un emploi n’est pas suffisant pour réduire le risque de fuite. Ainsi, au vu des éléments précités, de même que des faits qui lui sont reprochés et de la peine susceptible d’être prononcée, étant encore rappelé qu’A.________ est prévenu d’infraction grave à la loi sur les stupéfiants, le risque de fuite apparaît non seulement possible, mais également probable. Il n’est d’ailleurs pas contesté par le recourant. Par ailleurs, aucune mesure de substitution ne saurait pallier ce risque. 4. L’ordonnance attaquée se fonde également sur le risque de collusion (art. 221 al. 1 let. b CPP). A cet égard, il convient de préciser que les conditions légales de l’art. 221 al. 1 CPP sont alternatives, et non cumulatives ; il ne serait dès lors pas indispensable d’examiner les autres motifs légaux de la détention provisoire (TF 1B_249/2011 du 7 juin 2011 c. 2.4; Forster, op. cit., n. 4 ad art. 221 CPP, p. 1460). Cependant, il y a lieu de relever, par surabondance, que le risque de collusion est réalisé pour les motifs exposés ci-après. a) Selon la jurisprudence du Tribunal fédéral,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 l’autorité doit démontrer que qu’il existe un risque de collusion concret en ce sens que les circonstances particulières de l’espèce doivent faire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 b) En l’espèce, l’instruction se poursuit et plusieurs opérations sont en cours ou doivent encore être effectuées, comme notamment des auditions de confrontation entre A.________ et les autres prévenus mis en cause ainsi que des analyses scientifiques (ADN et taux de pureté) afin de déterminer l’étendue de l’activité délictueuse de l’intéressé. Si A.________ venait à être libéré, il y a un fort risque qu’il prenne certaines mesures de nature à entraver la manifestation de la vérité. Le risque de collusion est dès lors concret. Par ailleurs, aucune mesure de substitution ne saurait pallier ce risque. 5. 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A.________ est détenu depuis le 17 octobre 2013, soit depuis un peu plus de trois mois. Compte tenu des actes qui lui sont reprochés, le recourant s'expose à une peine d’une durée manifestement supérieure à celle de la détention provisoire subie à ce jour. Par conséquent, le principe de proportionnalité est respecté. 6. 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d’A.________ ne sera toutefois exigible que pour autant que la situation économique de ce dernier se soit améliorée (art. 135 al. 4 CPP). Par ces motifs, la Chambre des recours pénale, statuant à huis clos, prononce : I. Le recours est rejeté. II. L’ordonnance du 10 janvier 2014 est confirmée. III. L’indemnité allouée au défenseur d’office d’A.________ est fixée à 583 fr. 20 (cinq cent huitante-trois francs et vingt centimes). IV. Les frais du présent arrêt, par 770 fr. (sept cent septante francs), ainsi que l’indemnité due au défenseur d’office d’A.________ par 583 fr. 20 (cinq cent huitante-trois francs et vingt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Vincent Demierre, avocat (pour A.________), - Ministère public central ; et communiqué à : - M. le Procureur de l’arrondissement du Nord vaudois, - M. le Président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