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618 vom 5. April 2007</w:t>
      </w:r>
    </w:p>
    <w:p>
      <w:r>
        <w:t>VD Tribunal cantonal, 2007-04-05, FR</w:t>
      </w:r>
    </w:p>
    <w:p>
      <w:r>
        <w:rPr>
          <w:b/>
        </w:rPr>
        <w:t xml:space="preserve">Quelle: </w:t>
      </w:r>
      <w:r>
        <w:t>https://mcp.opencaselaw.ch/entscheid/vd_findinfo_D_cision___2014___618</w:t>
      </w:r>
    </w:p>
    <w:p>
      <w:r>
        <w:t>FR: VD_FINDINFO Décision / 2014 / 618 du 5 avril 2007</w:t>
      </w:r>
    </w:p>
    <w:p>
      <w:r>
        <w:t>IT: VD_FINDINFO Décision / 2014 / 618 del 5 aprile 2007</w:t>
      </w:r>
    </w:p>
    <w:p>
      <w:pPr>
        <w:pStyle w:val="Heading2"/>
      </w:pPr>
      <w:r>
        <w:t>Regeste</w:t>
      </w:r>
    </w:p>
    <w:p>
      <w:r>
        <w:t>PLAN D'EXÉCUTION DES PEINES, MODIFICATION{EN GÉNÉRAL} | 38 LEP</w:t>
      </w:r>
    </w:p>
    <w:p>
      <w:pPr>
        <w:pStyle w:val="Heading2"/>
      </w:pPr>
      <w:r>
        <w:t>Erwägungen</w:t>
      </w:r>
    </w:p>
    <w:p>
      <w:r>
        <w:rPr>
          <w:b/>
        </w:rPr>
        <w:t>E. 1</w:t>
      </w:r>
    </w:p>
    <w:p>
      <w:r>
        <w:t>a) 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considère notamment que la décision rendue par le Juge d’application des peines serait disproportionnée et inopportune. En effet, aucun élément relevant ne permettrait de remettre en question l’évolution de son régime en détention ni ne justifierait un retour en secteur fermé. L’ouverture de la procédure en vue d’un éventuel changement de mesure ne serait pas un élément suffisant. a) Aux termes de l’art. 76 al. 1 CP, les peines privatives de liberté sont exécutées dans un établissement fermé ou ouvert. L’art. 76 al. 2 CP prescrit que le détenu est placé dans un établissement fermé ou dans la section fermée d’un établissement ouvert s’il y a lieu de craindre qu’il ne s’enfuie ou ne commette de nouvelles infractions.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 2.1.1 et les références citées applicable par analogie). Quant au risque de récidive, il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précité). b) En l’espèce, il convient d’admettre que l’appréciation criminologique de R.________ reste préoccupante surtout quant au risque de récidive. En effet, il ressort du dossier que le recourant est en particulier toujours incapable d’examiner son implication dans son acte de violence impulsive et refuse toujours de s’engager dans un processus thérapeutique. L’intéressé fait certes preuve d’un bon comportement avec son entourage et d’une bonne évolution carcérale. Cependant, il montre toujours de grandes difficultés de réflexion, de remise en question et d’élaboration. Il se situe également toujours dans le déni quant à ses éventuelles fragilités et à son fonctionnement. Selon la Direction des EPO, dans son rapport du 25 octobre 2013, un nouveau passage à l’acte pourrait avoir lieu si l’intéressé se retrouvait dans une situation de frustration ou dans un moment où il se sentirait persécuté, la consommation d’alcool pouvant accroître le risque. Au vu de l’infraction grave qu’il a commise, R.________ reste dangereux et un risque de récidive est bien existant. Ces différents éléments ont paru suffisamment préoccupants pour amener la CIC à préconiser lune suspension du PES du 10 février 2012. Au surplus, le fait que l’intéressé ait consulté deux fois le SMPP ne saurait atténuer le risque de récidive. C’est donc à bon droit que le Juge d’application des peines a conclu que la réintégration de l’intéressé en secteur fermé était opportune en regard notamment des pièces du dossier et en particulier du risque de récidive ainsi que du refus de toute thérapie par R.________. La constatation de l'existence d'un risque de récidive dispense d'examiner si le risque de fuite est réalisé, les critères de l’existence d’un risque de fuite et de récidive étant alternatifs et non cumulatifs.</w:t>
      </w:r>
    </w:p>
    <w:p>
      <w:r>
        <w:rPr>
          <w:b/>
        </w:rPr>
        <w:t>E. 3</w:t>
      </w:r>
    </w:p>
    <w:p>
      <w:r>
        <w:t>En définitive, le recours de R.________ doit être rejeté et le prononcé sur recours administratif rendu par le Juge d’application des peines confirmé.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630 fr., plus la TVA par 50 fr. 40, soit 680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sur recours administratif du 20 juin 2014 est confirmé. III. L’indemnité allouée au défenseur d’office de R.________ est fixée à 680 fr. 40 (six cent huitante francs et quarante centimes). IV. Les frais d’arrêt, par 1'210 fr. (mille deux cent dix francs), ainsi que l’indemnité due au défenseur d’office de R.________, par 680 fr. 40 (six cent huitante francs et quarante centimes), sont mis à la charge de ce dernier. V. Le remboursement à l’Etat de l’indemnité allouée au chiffre III ci-dessus ne sera exigible que pour autant que la situation économique de R.________ se soit améliorée. VI. Le présent arrêt est exécutoire. Le président :               La greffière : Du L'arrêt qui précède, dont la rédaction a été approuvée à huis clos, est notifié, par l'envoi d'une copie complète, à : - M. Baptiste Viredaz, avocat (pour R.________), - Ministère public central, division affaires spéciales, contrôle et mineurs ; et communiqué à : - M. le Juge d’application des peines, - Office d’exécution des peines (réf : OEP/PPL/30961/BD/gg),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