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611 vom 22. Mai 2014</w:t>
      </w:r>
    </w:p>
    <w:p>
      <w:r>
        <w:t>VD Tribunal cantonal, 2014-05-22, FR</w:t>
      </w:r>
    </w:p>
    <w:p>
      <w:r>
        <w:rPr>
          <w:b/>
        </w:rPr>
        <w:t xml:space="preserve">Quelle: </w:t>
      </w:r>
      <w:r>
        <w:t>https://mcp.opencaselaw.ch/entscheid/vd_findinfo_D_cision___2014___611</w:t>
      </w:r>
    </w:p>
    <w:p>
      <w:r>
        <w:t>FR: VD_FINDINFO Décision / 2014 / 611 du 22 mai 2014</w:t>
      </w:r>
    </w:p>
    <w:p>
      <w:r>
        <w:t>IT: VD_FINDINFO Décision / 2014 / 611 del 22 maggio 2014</w:t>
      </w:r>
    </w:p>
    <w:p>
      <w:pPr>
        <w:pStyle w:val="Heading2"/>
      </w:pPr>
      <w:r>
        <w:t>Regeste</w:t>
      </w:r>
    </w:p>
    <w:p>
      <w:r>
        <w:t>CLASSEMENT DE LA PROCÉDURE, ESCROQUERIE, ADMISSION PARTIELLE | 146 CP, 319 CPP (CH)</w:t>
      </w:r>
    </w:p>
    <w:p>
      <w:pPr>
        <w:pStyle w:val="Heading2"/>
      </w:pPr>
      <w:r>
        <w:t>Erwägungen</w:t>
      </w:r>
    </w:p>
    <w:p>
      <w:r>
        <w:rPr>
          <w:b/>
        </w:rPr>
        <w:t>E. 1</w:t>
      </w:r>
    </w:p>
    <w:p>
      <w:r>
        <w:t>Interjeté dans le délai légal (art. 322 al. 2 CPP [Code de procédure pénale suisse du 5 octobre 2007; RS 312.0] et 396 al. 1 CPP) contre une décision du ministère public (art. 393 al. 1 let. a CPP), par la partie plaignante qui a qualité pour recourir (art. 382 al. 1 CPP) et dans les formes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La recourante ne conteste pas que l’infraction d’accès indu à un système informatique ne puisse plus être poursuivie, de sorte que le classement prononcé sur ce point sera confirmé.</w:t>
      </w:r>
    </w:p>
    <w:p>
      <w:r>
        <w:rPr>
          <w:b/>
        </w:rPr>
        <w:t>E. 4</w:t>
      </w:r>
    </w:p>
    <w:p>
      <w:r>
        <w:t>La recourante ne soutient par ailleurs plus que le comportement de B.________ serait constitutif d'infraction à la LCD. A cet égard, la Cour constate que les prétendues affirmations inexactes ou fallacieuses (art. 3 al. 1 let. b LCD en corrélation avec l’art. 23 al. 1 LCD) ont été faites dans le cadre de relations contractuelles préexistantes et non pour influer sur les rapports entre concurrents (cf. art. 2 LCD). La LCD n'est dès lors pas applicable au cas d'espèce et le classement prononcé par le Ministère public échappe effectivement à la critique.</w:t>
      </w:r>
    </w:p>
    <w:p>
      <w:r>
        <w:rPr>
          <w:b/>
        </w:rPr>
        <w:t>E. 5</w:t>
      </w:r>
    </w:p>
    <w:p>
      <w:r>
        <w:t>La recourante fait grief au Ministère public de ne pas avoir retenu l’infraction d’escroquerie. Elle soutient que le Procureur s’est exclusivement concentré sur l’existence d’une relation de confiance préexistante pour prétendre que le comportement du prévenu n’était pas astucieux, sans se demander si des vérifications étaient possibles ou raisonnablement exigibles. a)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Pour que l'infraction d'escroquerie soit réalisée, plusieurs conditions objectives doivent être remplies, à savoir une tromperie, une astuce, une induction en erreur, un acte de disposition, un dommage, ainsi qu'un lien de causalité entre les éléments qui précèdent. Sur le plan subjectif, l'escroquerie suppose une intention et un dessein d'enrichissement illégitime pour soi-même ou pour un tiers (Dupuis et alii, Petit commentaire du Code pénal, Bâle 2012, n. 1 ad. art. 146 CP, p. 831).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[éd.], op. cit., n. 12 ad art. 146 CP). b) En l’espèce, le raisonnement du Ministère public pour exclure l’élément constitutif de l’astuce prend appui sur deux courriers adressés par la recourante au prévenu en janvier 2011, dans lesquelles cette dernière faisait état de son mécontentement par rapport aux prestations du prévenu et l’invitait à les améliorer sous peine de mettre un terme à leurs relations (cf. P. 16/6 et P. 16/7). Contrairement à ce qu’a retenu le Procureur, ces courriers constituaient uniquement un rappel à l’ordre dans le cadre d’une relation contractuelle qui s’inscrivait dans la durée. Cela ne suffit donc pas pour voir un manque de prudence de la part de la recourante dans le fait de lui avoir ensuite confié la réalisation de projets informatiques. De plus, le Procureur a également retenu que la recourante était coresponsable du dommage dans la mesure où elle avait payé deux factures en faveur du prévenu le 20 mars 2012, soit au moment où elle disposait déjà d’un rapport indiquant que le prévenu était le responsable de l’opération de « spamming » perpétrée le 27 décembre 2011 (P. 5/8). Toutefois, il y a lieu de relever que ce rapport ne concernait que l’utilisation du serveur de la Fondation S.________ par le prévenu et le niveau de sécurité des installations informatiques, lesquelles ont du reste été jugées supérieures à la moyenne (P. 5/8, p. 1). Il ne s’agissait donc pas d’une analyse générale du matériel et des prestations fournies par le prévenu et on ne saurait reprocher à la recourante de s’être acquittée de factures quand bien même elle disposait déjà de ce rapport. Sur le vu de ce qui précède, le Procureur ne pouvait s’appuyer sur ces éléments pour classer la procédure pénale dirigée contre B.________ pour escroquerie. Au contraire, il ressort de la plainte pénale du 30 novembre 2012 et en particulier du document intitulé « problèmes constatés suite à l’inventaire du parc informatique » que le prévenu n’aurait pas livré et installé les prestations promises dans ses offres des 14 février et 28 juillet 2011 (P. 5/9). Des faits essentiels apparaissent ainsi avoir été dissimulés à la plaignante. Cette dernière a dès lors fourni suffisamment d’explications et d’indices pour envisager à tout le moins l’infraction d’escroquerie et il appartient au Ministère public de poursuivre l’instruction sur ce point.</w:t>
      </w:r>
    </w:p>
    <w:p>
      <w:r>
        <w:rPr>
          <w:b/>
        </w:rPr>
        <w:t>E. 6</w:t>
      </w:r>
    </w:p>
    <w:p>
      <w:r>
        <w:t>Sur le vu de ce qui précède, le recours doit être partiellement admis, l'ordonnance de classement du 7 mars 2014 confirmée en tant qu’elle classe la procédure pour accès indu à un système informatique et infractions à la LCD et annulée pour le surplus, le dossier de la cause étant renvoyé au Ministère public de l'arrondissement de l’Est vaudois pour qu'il procède dans le sens des considérants. Le recours étant admis pour l’essentiel, les frais de la procédure de recours, constitués en l’espèce du seul émolument d'arrêt, par 880 fr. (art. 20 al. 1 TFIP [Tarif des frais de procédure et indemnités en matière pénale du 28 septembre 2010; RSV 312.03.1]), seront laissés à la charge de l'Etat (art. 428 al. 4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est partiellement admis. II. L’ordonnance de classement du 7 mars 2014 est confirmée en tant qu’elle classe la procédure pour accès indu à un système informatique et infraction à la loi fédérale contre la concurrence déloyale. III. L’ordonnance de classement du 7 mars 2014 est annulée pour le surplus et le dossier de la cause renvoyé au Ministère public de l'arrondissement de l’Est vaudois pour qu'il procède dans le sens des considérants. IV. Les frais d'arrêt, par 880 fr. (huit cent huitante francs), sont laissés à la charge de l'Etat. V. Le présent arrêt est exécutoire. Le président :               La greffière : Du L'arrêt qui précède, dont la rédaction a été approuvée à huis clos, est notifié, par l'envoi d'une copie complète, à : - M. Arnaud Thièry, avocat (pour la Fondation S.________), - M.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