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607 vom 14. Juli 2014</w:t>
      </w:r>
    </w:p>
    <w:p>
      <w:r>
        <w:t>VD Tribunal cantonal, 2014-07-14, FR</w:t>
      </w:r>
    </w:p>
    <w:p>
      <w:r>
        <w:rPr>
          <w:b/>
        </w:rPr>
        <w:t xml:space="preserve">Quelle: </w:t>
      </w:r>
      <w:r>
        <w:t>https://mcp.opencaselaw.ch/entscheid/vd_findinfo_D_cision___2014___607</w:t>
      </w:r>
    </w:p>
    <w:p>
      <w:r>
        <w:t>FR: VD_FINDINFO Décision / 2014 / 607 du 14 juillet 2014</w:t>
      </w:r>
    </w:p>
    <w:p>
      <w:r>
        <w:t>IT: VD_FINDINFO Décision / 2014 / 607 del 14 luglio 2014</w:t>
      </w:r>
    </w:p>
    <w:p>
      <w:pPr>
        <w:pStyle w:val="Heading2"/>
      </w:pPr>
      <w:r>
        <w:t>Regeste</w:t>
      </w:r>
    </w:p>
    <w:p>
      <w:r>
        <w:t>DÉTENTION PROVISOIRE, VISITE, TÉLÉPHONE, CONTACT AVEC L'ENTOURAGE, RISQUE DE COLLUSION | 235 CPP (CH), 52 RSDAJ</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pour le cas d'un refus d'autorisation de visite à un prévenu en détention provisoire, cf. CREP 2 mai 2012/231 c. 1b; CREP 7 août 2012/379 c.1a), par le prévenu, qui a qualité pour recourir (art. 382 al. 1 CPP), et dans les formes prescrites (art. 385 al. 1 CPP), le recours est recevable.</w:t>
      </w:r>
    </w:p>
    <w:p>
      <w:r>
        <w:rPr>
          <w:b/>
        </w:rPr>
        <w:t>E. 2</w:t>
      </w:r>
    </w:p>
    <w:p>
      <w:r>
        <w:t>Le recourant soutient que le risque de collusion retenu par le Ministère public pour refuser toute visite d'A.________ et tout contact téléphonique avec cette dernière ne serait pas suffisamment concret pour justifier l'atteinte à ses droits que constitue cette interdiction.</w:t>
      </w:r>
    </w:p>
    <w:p>
      <w:r>
        <w:rPr>
          <w:b/>
        </w:rPr>
        <w:t>E. 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pénitentiaire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RSV 340.02.5]). 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contacts avec les membres de leur famille, dans les limites découlant de la mesure de contrainte qui leur est imposée et du rapport de sujétion spécial qui les lie à l'Etat (TF 1B_74/2014 du 7 avril 2014 c. 3.2; TF 1B_382/2013 du 18 décembre 2013 c. 2.1). Lorsque le détenu n'a aucun membre de sa famille en Suisse ou n'a pas de rapports étroits avec sa famille, l'autorité ne peut lui refuser la visite d'une personne avec laquelle il entretient des relations s'apparentant à celles d'un proche, pour autant qu'elle soit compatible avec les buts de la détention (ATF 102 Ia 299 c. 3; TF 1P.310/2000 du 9 juin 2000 c. 2). Conformément aux exigences de l'art. 36 Cst., les restrictions à ce droit doivent reposer sur une base légale et ne pas aller au-delà de ce qui est nécessaire au but de l'incarcération (ATF 119 Ia 505 c. 3b; ATF 118 Ia 64 c. 2d; TF 1B_74/2014 du 7 avril 2014 c. 3.2; TF 1B_382/2013 du 18 décembre 2013 c. 2.1). Les exigences inhérentes au but de la détention doivent être examinées dans chaque cas, les restrictions imposées pouvant être d'autant plus sévères que le risque, notamment de collusion, apparaît élevé (ATF 118 Ia 64 c. 2d; TF 1B_74/2014 du 7 avril 2014 c. 3.2; TF 1B_382/2013 du 18 décembre 2013 c. 2.1). Par analogie avec la détention provisoire, le risque de collusion doit, pour faire échec au droit de visite des proches, présenter une certaine vraisemblance (ATF 123 I 31 c. 3c; ATF 117 Ia 257 c. 4c; TF 1B_74/2014 du 7 avril 2014 c. 3.2; TF 1B_382/2013 du 18 décembre 2013 c. 2.1), et l'autorité doit indiquer, au moins dans les grandes lignes, en quoi l'exercice de ce droit pourrait compromettre les résultats de l'enquête (cf. ATF 123 I 31 c. 2b; ATF 116 Ia 149 c. 5; TF 1B_74/2014 du 7 avril 2014 c. 3.2; TF 1B_382/2013 du 18 décembre 2013 c. 2.1).</w:t>
      </w:r>
    </w:p>
    <w:p>
      <w:r>
        <w:rPr>
          <w:b/>
        </w:rPr>
        <w:t>E. 2.2</w:t>
      </w:r>
    </w:p>
    <w:p>
      <w:r>
        <w:t>En l'espèce, compte tenu de l'absence de relations du recourant avec sa famille, qui vit au demeurant en Allemagne, A.________ doit être considérée comme une proche, quand bien même la relation intime n'a semble-t-il débuté qu'au mois d'octobre 2013 (PV aud. 3, lignes 232 à 236). Du reste, le Ministère public ne semble plus nier cette qualité à l'intéressée, puisqu'il se fonde exclusivement sur l'existence d'un risque de collusion. A ce titre, il est vrai qu'A.________ a déjà été entendue par le Ministère public (PV aud. 1), lequel, au vu de l'ordonnance pénale rendue à son encontre (P. 29), considère que l'instruction est complète en ce qui la concerne. Cela étant, il ressort clairement de la dernière audition du recourant, qui s'est tenue deux semaines avant que l'ordonnance attaquée soit rendue, que celui-ci entend désormais non seulement contester les mises en cause de ses clients présumés, mais aussi revenir sur ses premiers aveux et contester les déclarations de son amie A.________. Or, contrairement à ce que soutient le recourant (acte de recours, p. 3), cette dernière n'était semble-t-il pas "qu'une consommatrice", mais aurait à plusieurs reprises activement participé aux opérations de vente de produits stupéfiants qui sont reprochées au recourant. Dès lors, attendu que le recourant conteste aujourd'hui les explications données par A.________ lors de leur arrestation et compte tenu de leur relation intime, il existe un risque bien réel que les intéressés tentent de s'entendre sur une version des faits modifiée. En tant que participante à l'activité délictueuse du recourant, A.________ est en outre une des personnes les plus à même de prendre contact avec la clientèle présumée du recourant et d'entraver le bon déroulement de l'instruction pénale, laquelle, contrairement à ce que soutient le recourant, se poursuit à l'heure actuelle, étant à ce titre rappelé que la dernière audition du recourant remonte seulement à la mi-juin. En bref, sur les principaux aspects litigieux du dossier, des contacts directs entre le recourant et A.________ sont susceptibles de compromettre la recherche de la vérité, si bien qu'il existe un risque de collusion suffisamment concret pour fonder la limitation de contacts ordonnée par le Ministère public.</w:t>
      </w:r>
    </w:p>
    <w:p>
      <w:r>
        <w:rPr>
          <w:b/>
        </w:rPr>
        <w:t>E. 3</w:t>
      </w:r>
    </w:p>
    <w:p>
      <w:r>
        <w:t>Au vu de ce qui précède, le recours doit être rejeté sans autre échange d’écritures (art. 390 al. 2 CPP) et l’ordonnance attaquée confirmée. L’indemnité due au défenseur d’office du recourant sera fixée à 450 fr., plus la TVA, par 36 fr., ce qui porte le montant alloué à 486 francs. Les frais de la procédure de recours, soit l'émolument d’arrêt, par 770 fr. (art. 20 al. 1 TFIP  [Tarif des frais de procédure et indemnités en matière pénale du 28 septembre 2010; RSV 312.03.1]), ainsi que les frais imputables à la défense d’office (art. 422 al. 1 et al.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30 juin 2014 est confirmée. III. L’indemnité due au défenseur d’office de M.________ est fixée à 486 fr. (quatre cent huitante-six francs). IV. L'émolument d’arrêt, par 770 fr. (sept cent septante francs), ainsi que l’indemnité due au défenseur d’office de M.________, par 486 fr. (quatre cent huitante-six francs), sont mis à la charge de ce dernier.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 Alexandre Curchod, avocat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