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604 vom 11. Juli 2014</w:t>
      </w:r>
    </w:p>
    <w:p>
      <w:r>
        <w:t>VD Tribunal cantonal, 2014-07-11, FR</w:t>
      </w:r>
    </w:p>
    <w:p>
      <w:r>
        <w:rPr>
          <w:b/>
        </w:rPr>
        <w:t xml:space="preserve">Quelle: </w:t>
      </w:r>
      <w:r>
        <w:t>https://mcp.opencaselaw.ch/entscheid/vd_findinfo_D_cision___2014___604</w:t>
      </w:r>
    </w:p>
    <w:p>
      <w:r>
        <w:t>FR: VD_FINDINFO Décision / 2014 / 604 du 11 juillet 2014</w:t>
      </w:r>
    </w:p>
    <w:p>
      <w:r>
        <w:t>IT: VD_FINDINFO Décision / 2014 / 604 del 11 luglio 2014</w:t>
      </w:r>
    </w:p>
    <w:p>
      <w:pPr>
        <w:pStyle w:val="Heading2"/>
      </w:pPr>
      <w:r>
        <w:t>Regeste</w:t>
      </w:r>
    </w:p>
    <w:p>
      <w:r>
        <w:t>RISQUE DE RÉCIDIVE, DÉTENTION PROVISOIRE | 221 al. 1 let. c CPP (CH), 393 al. 1 let. c CPP (CH)</w:t>
      </w:r>
    </w:p>
    <w:p>
      <w:pPr>
        <w:pStyle w:val="Heading2"/>
      </w:pPr>
      <w:r>
        <w:t>Erwägungen</w:t>
      </w:r>
    </w:p>
    <w:p>
      <w:r>
        <w:rPr>
          <w:b/>
        </w:rPr>
        <w:t>E. 1</w:t>
      </w:r>
    </w:p>
    <w:p>
      <w:r>
        <w:t>a)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art. 80 LOJV [loi d’organisation judiciaire; RS 173.01]). b) En l’espèce, il y a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pp. 1024 ss). b) En l’espèce, le recourant, qui persiste à contester certaines accusations, a admis avoir frappé sa victime avec une batte de baseball, avoir agité son arme chargée devant elle (PV aud. police du 16 octobre 2013, p. 3 et 5) et lui avoir passé une attache colson à la main droite (PV aud. d’arrestation du 17 octobre 2013, p. 3). Il a par ailleurs expliqué s’être rendu sur les lieux de l’altercation dans le but de lui faire signer une convention de cession de parts (PV aud. police, p. 3). V.________ n'est pas revenu sur ses déclarations, même s'il continue à minimiser la gravité des faits, comme cela ressort du rapport d’expertise (P. 63, p. 4, par. 1), de son courrier adressé au procureur le 4 mai 2014 ou de sa demande de mise en liberté formulée le 5 juin 2014. Dans ces circonstances, il existe des présomptions de culpabilité suffisantes à l’encontre du recourant. La condition préalable au maintien de V.________ en détention provisoire est dès lors réalisée.</w:t>
      </w:r>
    </w:p>
    <w:p>
      <w:r>
        <w:rPr>
          <w:b/>
        </w:rPr>
        <w:t>E. 3</w:t>
      </w:r>
    </w:p>
    <w:p>
      <w:r>
        <w:t>Le recourant conteste l'existence du risque de réitération. Se fondant en particulier sur le complément apporté au rapport d'expertise psychiatrique daté du 19 juin 2014, il indique ne pas souffrir d'un grave trouble mental chronique ou récurrent, le risque de récidive, s'il devait s'avérer existant, pouvant être diminué par un traitement psychothérapeutique. Il dit aussi être d'accord de se soumettre à un tel traitement, de sorte que des mesures de substitution au sens de l'art. 237 CPP pourraient être instaurées. a)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"infraction du même genre" indique que les infractions précédentes doivent être des crimes ou des délits et que l'infraction redoutée doit être similaire, sans pour autant être identique (Schmocker, op. cit., n. 18 ad. art. 221 CPP; ATF 137 IV 13 c. 3 et 4).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b) Dans ses arrêts précédents (cf. CREP 7 novembre 2013/649, c. 3c et CREP 1 er avril 2014/248, c.3b), la cour de céans a retenu qu’il existait un risque concret que V.________, s’il était remis en liberté, commette de nouvelles infractions du même genre que celles qui lui valaient les poursuites en cours, compte tenu de ses précédentes condamnations, notamment pour menaces, contraintes, lésions corporelles simples avec objet dangereux et délit manqué de lésions corporelles graves, du fait que les précédents sursis n’avaient eu aucun effet dissuasif, de l’absence de prise de conscience de la gravité de ses agissements et de sa persistance à mettre la faute sur les autres. Cette appréciation garde toute sa pertinence. Elle est d’ailleurs renforcée par les résultats de l’expertise psychiatrique du 18 février 2014 – laquelle conclut à l'existence d'un risque de récidive élevé pour des infractions concernant le droit des personnes, de la circulation routière, dans le cadre de son activité professionnelle, ou encore de la protection de l'environnement (cf. P. 63, ch. 3. 2) – et par ceux résultants du complément d'expertise du 19 juin 2014 (cf. P. 110, ch. 1). De plus, si V.________ ne présente pas une pathologie psychiatrique nécessitant une contrainte au traitement, il souffre néanmoins bien d'un trouble mixte de la personnalité, pour lequel un traitement psychothérapeutique pourrait constituer une mesure adaptée (cf. P. 110, ch. 2). Selon les experts, un tel traitement serait susceptible de diminuer le risque de récidive, s'il était souhaité par l'expertisé, qui aurait pris conscience des conséquences néfastes de son trouble de la personnalité, qui en souffrirait et qui aurait la volonté de changer (cf. P. 110, ch. 3). Tel n'est manifestement pas le cas en l'espèce, notamment à lire les annotations et les compléments apportés par V.________ lui-même à propos de l'expertise le concernant ou le courrier adressé le 1 er juillet 2014 au procureur en relation avec le complément d'expertise du 19 juin 2014 (P. 116). Au demeurant, la seule mention dans son mémoire de recours qu'il est prêt à entreprendre un tel traitement ne suffit pas à démontrer sa bonne volonté sur ce point. Il peut pour le surplus être renvoyé à la motivation telle qu'exposée par la cour de céans dans l'examen du recours interjeté le 27 mars 2014 par V.________ contre l'ordonnance du Tribunal des mesures de contrainte du 14 mars 2014 rejetant sa demande de mise en liberté. Dans ces conditions et compte tenu de la gravité des faits reprochés, il est à craindre que le recourant, s’il était remis en liberté, ne commette de nouvelles infractions du même genre que celles qui lui valent les présentes poursuites. Le risque de récidive est donc manifeste et justifie son maintien en détention provisoire.</w:t>
      </w:r>
    </w:p>
    <w:p>
      <w:r>
        <w:rPr>
          <w:b/>
        </w:rPr>
        <w:t>E. 4</w:t>
      </w:r>
    </w:p>
    <w:p>
      <w:r>
        <w:t>a) La détention provisoire et la détention pour des motifs de sûreté doivent être levées dès que des mesures de substitution (art. 237 CPP) permettent d’atteindre le même but (art. 212 al. 2 let. c CPP). Les mesures de substitution énumérées de manière non exhaustive à l’art. 237 CPP sont un succédané à la détention provisoire; elles poursuivent le même objectif – éviter la fuite, la récidive ou la collusion – tout en étant moins sévères; le tribunal doit les prononcer à la place de la détention provisoire ou pour des motifs de sûreté si elles permettent d’empêcher la concrétisation du risque (Schmocker, op. cit., n. 2 ad art. 237 CPP). b) En l’espèce, on relèvera, tout comme le Tribunal des mesures de contrainte (ordonnance attaquée, ch. 10), que les engagements du prévenu de ne pas contacter ni approcher B.________, de quelque manière que ce soit, sont insuffisants et ne suffiraient de toute manière pas à protéger les autres personnes susceptibles d'être prises à partie par le prévenu. Quant à l'engagement de V.________ de suivre une psychothérapie, il n’est pas crédible. En effet, dans la mesure où, face aux experts, le recourant a clairement manifesté son opposition à un tel traitement, on voit mal pour quelle raison il serait soudainement motivé pour s’y soumettre, si ce n’est dans le seul but d’être libéré. Au demeurant, on peut douter que cette mesure soit de nature à produire avec effet immédiat des bénéfices tels qu’ils écarteraient tout risque de récidive, ce que les experts n’ont du reste pas affirmé, se limitant à retenir qu’un tel traitement "serait susceptible de diminuer le risque de récidive" (rapport d’expertise, p. 13 in initio). Ils font au demeurant la même analyse dans leur complément du 19 juin 2014 (P. 110, ch. 3). Ainsi, aucune mesure de substitution ne présente en l’état de garanties suffisantes pour pallier le risque de réitération, étant au demeurant précisé que l’on doit se montrer particulièrement exigeant lorsque, comme en l'espèce, la sécurité publique est en jeu.</w:t>
      </w:r>
    </w:p>
    <w:p>
      <w:r>
        <w:rPr>
          <w:b/>
        </w:rPr>
        <w:t>E. 5</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En l’espèce, le recourant est détenu depuis le 16 octobre 2013, soit depuis près de neuf mois. Compte tenu de ses antécédents et des charges qui pèsent sur lui, il s'expose à une peine privative de liberté d’une durée supérieure à celle de la détention provisoire subie à ce jour, notamment au vu de la possible révocation de ses précédents sursis.</w:t>
      </w:r>
    </w:p>
    <w:p>
      <w:r>
        <w:rPr>
          <w:b/>
        </w:rPr>
        <w:t>E. 6</w:t>
      </w:r>
    </w:p>
    <w:p>
      <w:r>
        <w:t>Tout en déposant son recours, V.________ a aussi exposé vouloir changer d'avocat, avoir adressé une demande dans ce sens au procureur et pris contact avec Me Nicolas Marthe, avocat à Neuchâtel. Par ordonnance du 9 juillet 2014, le procureur de l'arrondissement du Nord vaudois, en charge de la direction de la procédure (art. 61 let. a CPP), a rejeté la requête tendant au remplacement du défenseur d'office de V.________ et a dit que les frais de la décision suivaient le sort de la cause. Il convient d'en prendre acte ici, étant précisé que le prévenu n'a en tous les cas pas le droit à se voir désigner l'avocat de son choix comme défenseur d'office (cf. CREP 19 décembre 2013/761 et les réf. citées). Pour le reste, rien n'empêche le prévenu de consulter un avocat de choix s'il est en mesure de le rémunérer.</w:t>
      </w:r>
    </w:p>
    <w:p>
      <w:r>
        <w:rPr>
          <w:b/>
        </w:rPr>
        <w:t>E. 7</w:t>
      </w:r>
    </w:p>
    <w:p>
      <w:r>
        <w:t>En définitive, le recours, manifestement mal fondé, doit être rejeté sans autre échange d’écritures (art. 390 al. 2 CPP) et l'ordonnance attaquée confirmée. Vu l’issue de la cause, les frais de la procédure de recours, constitués en l’espèce de l'émolument d'arrêt (art. 422 al. 1 CPP), par 1'100 fr. (art. 20 al. 1 TFIP [tarif des frais de procédure et indemnités en matière pénale du 28 septembre 2010; RSV 312.03.1]), et des frais imputables à la défense d’office (art. 422 al. 1 et 2 let. a CPP), fixés à 180 fr. plus la TVA, par 14 fr. 40, soit 194 fr. 40, seront mis à la charge du recourant, qui succombe (art. 428 al. 1 CPP). Le remboursement à l’Etat de l’indemnité allouée au défenseur d’office de V.________ ne sera toutefois exigible que pour autant que la situation économique de ce dernier se soit améliorée (art. 135 al. 4 CPP). Par ces motifs, la Chambre des recours pénale, statuant à huis clos, prononce : I. Le recours est rejeté. II. L'ordonnance du 17 juin 2014 est confirmée. III . L'indemnité allouée au défenseur d'office de V.________ est fixée à 194 fr. 40 (cent nonante quatre francs et quarante centimes). IV. Les frais d'arrêt, par 1'100 fr. (mille cent francs), ainsi que l'indemnité due au défenseur d'office de V.________ selon chiffre III ci-dessus, sont mis à la charge de ce dernier. V. Le remboursement à l'Etat de l'indemnité allouée au chiffre III ci-dessus sera exigible pour autant que la situation économique de V.________ se soit améliorée. VI . Le présent arrêt est exécutoire. Le président :               La greffière : Du L'arrêt qui précède, dont la rédaction a été approuvée à huis clos, est notifié, par l'envoi d'une copie complète, à : - Me Sébastien Pedroli, avocat (pour V.________), - M. V.________, - Ministère public central, et communiqué à : - Mme la Présidente du Tribunal des mesures de contrainte, - M. le Procureur de l'arrondissement du Nord vaudois, - Me Charles-Henri de Luze, avocat (pour B.________),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