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598 vom 10. Juli 2014</w:t>
      </w:r>
    </w:p>
    <w:p>
      <w:r>
        <w:t>VD Tribunal cantonal, 2014-07-10, FR</w:t>
      </w:r>
    </w:p>
    <w:p>
      <w:r>
        <w:rPr>
          <w:b/>
        </w:rPr>
        <w:t xml:space="preserve">Quelle: </w:t>
      </w:r>
      <w:r>
        <w:t>https://mcp.opencaselaw.ch/entscheid/vd_findinfo_D_cision___2014___598</w:t>
      </w:r>
    </w:p>
    <w:p>
      <w:r>
        <w:t>FR: VD_FINDINFO Décision / 2014 / 598 du 10 juillet 2014</w:t>
      </w:r>
    </w:p>
    <w:p>
      <w:r>
        <w:t>IT: VD_FINDINFO Décision / 2014 / 598 del 10 luglio 2014</w:t>
      </w:r>
    </w:p>
    <w:p>
      <w:pPr>
        <w:pStyle w:val="Heading2"/>
      </w:pPr>
      <w:r>
        <w:t>Regeste</w:t>
      </w:r>
    </w:p>
    <w:p>
      <w:r>
        <w:t>MESURE DE SUBSTITUTION À LA DÉTENTION, RISQUE DE RÉCIDIVE | 221 CPP (CH), 233 CPP (CH), 237 CPP (CH)</w:t>
      </w:r>
    </w:p>
    <w:p>
      <w:pPr>
        <w:pStyle w:val="Heading2"/>
      </w:pPr>
      <w:r>
        <w:t>Erwägungen</w:t>
      </w:r>
    </w:p>
    <w:p>
      <w:r>
        <w:rPr>
          <w:b/>
        </w:rPr>
        <w:t>E. 1</w:t>
      </w:r>
    </w:p>
    <w:p>
      <w:r>
        <w:t>Aux termes de l'art. 233 CPP (Code de procédure pénale suisse du 5 octobre 2007, RS 312.0), la direction de la procédure de la juridiction d'appel statue dans les cinq jours sur les demandes de libération et sa décision n'est pas sujette à recours. Les dispositions sur la détention provisoire et la détention pour des motifs de sûreté s'appliquent par analogie au prononcé des mesures de substitution ainsi qu'au recours contre elles (art. 237 al. 4 CPP). L'art. 233 CPP garantit que le prévenu (acquitté ou condamné en première instance) puisse requérir en tout temps sa mise en liberté puisque la demande peut même être formulée auprès de la juridiction d'appel (Logos, in: Commentaire romand, Code de procédure pénale suisse, Bâle 2011, n. 5 ad art. 233 CPP; Moreillon/Parein-Reymond, Petit commentaire du CPP, Bâle 2013, n. 4 ad. art. 233). Déposée lors de l'audience d'appel, la requête de H.________ est recevable. Il appartient en principe à la direction de la procédure, soit en l'espèce le président de la juridiction d'appel, de statuer sur cette requête. Rien ne s'oppose néanmoins à ce que ce soit la juridiction d'appel in corpore qui statue sur ce point, dans le cadre du jugement sur appel (art. 138 IV 81, c. 2.1), par une décision séparée sur la détention pour motifs de sûreté ou les mesures de substitution notifiée à bref délai (Moreillon/Parein-Reymond, Petit commentaire du CPP, Bâle 2013, n. 5 ad. art. 232 CPP et n. 7 ad art. 237 CPP).</w:t>
      </w:r>
    </w:p>
    <w:p>
      <w:r>
        <w:rPr>
          <w:b/>
        </w:rPr>
        <w:t>E. 2</w:t>
      </w:r>
    </w:p>
    <w:p>
      <w:r>
        <w:t>En vertu de l'art. 221 CPP – applicable par analogie aux mesures de substitution (art. 237 al. 4 CPP) –,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Le juge peut maintenir la détention préventive aussi longtemps qu'elle n'est pas très proche de la durée de la peine privative de liberté à laquelle il faut s'attendre concrètement en cas de condamnation (ATF 133 I 168 c. 4.1 p. 170 et les références). Il convient d'accorder une attention particulière à cette limite, car le juge de l'action pénale pourrait être enclin à prendre en considération dans la fixation de la peine la durée de la détention préventive à imputer selon l'art. 51 CP (ATF 133 I 168 c. 4.1 p. 170 et les arrêts cités). Lorsque le détenu a déjà été jugé en première instance, ce prononcé constitue un indice important quant à la peine susceptible de devoir être finalement exécutée (TF 1B_43/2013 du 1 er mars 2013 c. 4.1 et les références citées). Selon la jurisprudence, le juge de la détention - afin d'éviter qu'il n'empiète sur les compétences du juge du fond - ne tient pas compte de la possibilité éventuelle de l'octroi d'un sursis par l'autorité de jugement (ATF 133 I 270 c. 3.4.3 p. 282).</w:t>
      </w:r>
    </w:p>
    <w:p>
      <w:r>
        <w:rPr>
          <w:b/>
        </w:rPr>
        <w:t>E. 2.1</w:t>
      </w:r>
    </w:p>
    <w:p>
      <w:r>
        <w:t>En l'occurrence, le Tribunal correctionnel de l'arrondissement de La Côte a condamné H.________ pour les actes qui lui étaient reprochés, estimant sa culpabilité importante. Le prévenu ne conteste d'ailleurs pas son implication dans les faits litigieux, seule la qualification juridique étant mise en cause par le Ministère public. Il existe donc des soupçons suffisants au sens de l'art. 221 CPP.</w:t>
      </w:r>
    </w:p>
    <w:p>
      <w:r>
        <w:rPr>
          <w:b/>
        </w:rPr>
        <w:t>E. 2.2</w:t>
      </w:r>
    </w:p>
    <w:p>
      <w:r>
        <w:t>En l'espèce, les premiers juges ont maintenu les mesures de substitution précédemment ordonnées à l'encontre de H.________ en raison du risque de réitération pour le cas où le prévenu venait à consommer à nouveau de l'alcool et à se soustraire à son traitement ambulatoire.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En l'occurrence, les antécédents de H.________ sont lourds, le prévenu ayant déjà été condamné onze fois pénalement entre juin 2004 et mars 2012, notamment pour incendie intentionnel, brigandage, violence ou menace envers les autorités et les fonctionnaires et vol. En cours d'enquête, H.________ a été soumis à une expertise psychiatrique: les Drs V.________ et Z.________, qui ont procédé à celle-ci, ont posé le diagnostic de trouble mixte de la personnalité (avec traits narcissiques, impulsifs, paranoïaques et antisociaux), un syndrome de dépendance à l'alcool, une utilisation de cannabis et d'autres substances psycho-actives nocives pour la santé, antécédents de troubles mentaux et du comportement lié à l'utilisation de substance psycho-actives (P. 61). Selon les experts, ce trouble, déjà présent au moment des faits litigieux, modifie le regard global que H.________ a sur lui-même et sur le monde environnant qui favorise, dans le cas de l'expertisé, des comportements inadaptés dont les comportements impulsifs, agressifs, menaçants, immatures et irresponsables. Pour les experts, le risque de récidive chez le prévenu est élevé du fait du caractère chronique des troubles psychiatriques retenus, de nouvelles infractions de même nature, voire des infractions plus graves pouvant être commises. La Dresse R.________, qui s'occupe du traitement ambulatoire de H.________, observe en ce qui la concerne que le prévenu semble aujourd'hui [réd: en juin 2014] être dans le déni et ne pas se reconnaître comme délinquant et plutôt motivé à protéger ses intérêts (P. 135). Enfin, le prévenu a lui-même déclaré à l'audience de ce jour ne pas vouloir faire une dépression en raison de ses regrets et avoir la volonté de continuer à vivre sa vie. Cela dénote une absence de prise de conscience. A vu de ce qui précède, l’existence d’un risque de réitération par des crimes ou des délits graves de nature à compromette sérieusement la sécurité d’autrui doit être admise, sans qu'il soit nécessaire d'examiner si le maintien des mesures de substitution se justifierait également en raison d'un risque de fuite.</w:t>
      </w:r>
    </w:p>
    <w:p>
      <w:r>
        <w:rPr>
          <w:b/>
        </w:rPr>
        <w:t>E. 2.3</w:t>
      </w:r>
    </w:p>
    <w:p>
      <w:r>
        <w:t>Il convient de relever en dernier lieu que le principe de la proportionnalité des intérêts en présence est respecté, compte tenu de la gravité des infractions reprochées au requérant, de sa culpabilité et de la durée de la peine à laquelle il a été condamné (ATF 133 I 168 c. 4.1 et les arrêts cités).</w:t>
      </w:r>
    </w:p>
    <w:p>
      <w:r>
        <w:rPr>
          <w:b/>
        </w:rPr>
        <w:t>E. 3</w:t>
      </w:r>
    </w:p>
    <w:p>
      <w:r>
        <w:t>En définitive, le maintien des mesures de substitution ordonnées à l'encontre de H.________ se justifie et sa requête tendant à la levée de celles-ci doit être rejetée. Dans la mesure où H.________ est parvenu au terme de son apprentissage et qu'il n'a plus à suivre de cours à l'école professionnelle, il convient de préciser le libellé des mesures de substitution en ce sens que l'assignation à résidence est ordonnée en dehors des heures de travail et des démarches de recherches d'emploi nécessaires et validées par l'autorité de probation. Les frais de la présente décision, par 880 fr.  (art. 21 al. 1 TFIP [Tarif des frais de procédure et indemnités en matière pénale du 28 septembre 2010, RSV 312.03.1]) sont mis à la charge de H.________,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