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592 vom 15. Mai 2014</w:t>
      </w:r>
    </w:p>
    <w:p>
      <w:r>
        <w:t>VD Tribunal cantonal, 2014-05-15, FR</w:t>
      </w:r>
    </w:p>
    <w:p>
      <w:r>
        <w:rPr>
          <w:b/>
        </w:rPr>
        <w:t xml:space="preserve">Quelle: </w:t>
      </w:r>
      <w:r>
        <w:t>https://mcp.opencaselaw.ch/entscheid/vd_findinfo_D_cision___2014___592</w:t>
      </w:r>
    </w:p>
    <w:p>
      <w:r>
        <w:t>FR: VD_FINDINFO Décision / 2014 / 592 du 15 mai 2014</w:t>
      </w:r>
    </w:p>
    <w:p>
      <w:r>
        <w:t>IT: VD_FINDINFO Décision / 2014 / 592 del 15 maggio 2014</w:t>
      </w:r>
    </w:p>
    <w:p>
      <w:pPr>
        <w:pStyle w:val="Heading2"/>
      </w:pPr>
      <w:r>
        <w:t>Regeste</w:t>
      </w:r>
    </w:p>
    <w:p>
      <w:r>
        <w:t>CLASSEMENT DE LA PROCÉDURE, VIOLATION DE DOMICILE, INFRACTIONS CONTRE LE DOMAINE SECRET | 179quater CP, 186 CP, 319 CPP (CH), 393 al. 1 let. a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a) Selon l’art. 186 CP, se rend coupable de violation de domicile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L’ayant droit est celui qui a le pouvoir de disposer des lieux, que ce soit en vertu d’un droit réel, d’un droit personnel ou d’un rapport de droit public (ATF 118 IV 67 c. 1c (fr.) ; ATF 112 IV 31 c. 3, JT 1986 IV 78 ; ATF 108 IV 33 c. 5a, JT 1983 IV 76). Le droit au domicile suppose donc la maîtrise effective des lieux (ATF 112 IV 31 précité). Dans le cadre d’un bail à loyer, c’est le locataire qui possède la qualité d’ayant droit, à l’exclusion du propriétaire des lieux (ATF 118 IV 67 c. 1c). Sont également ayants droit le sous-locataire, voire le fonctionnaire qui occupe des locaux administratifs (ATF 112 IV 31 c. 3, JT 1986 IV 78). La violation de domicile est une infraction intentionnelle. Le dol éventuel suffit (art. 12 al. 2 CP). Il y a dol éventuel si l'auteur a accepté la violation de domicile comme étant une conséquence indifférente, voire même indésirable, mais certaine de son acte. Aucun dessein spécial n'est exigé (Dupuis/Geller/Monnier/Moreillon/ Piguet/Bettex/Stoll [éd.], Petit commentaire du Code pénal, Bâle 2012, n. 34 ad art. 186 CP, p. 1127 et les références citées). b) En l’espèce, il convient d’abord de relever que F.T.________ est colocataire de l’appartement situé à Burtigny dont l’intérieur a été pris en photo (cf. P. 5/9), de sorte qu’elle a la qualité d’ayant droit au sens de la disposition précitée. Les photographies litigieuses ont manifestement été prises à travers la baie vitrée de l’appartement. Le prévenu a d’ailleurs admis avoir pris les photographies en étant collé à cette baie vitrée (PV aud. 2, p. 4, R. 5). Il conteste en revanche avoir escaladé un mur ou une clôture ou avoir franchi des haies, précisant que la baie vitrée se trouvait à côté de la porte d’entrée, qu’elle mesurait environ 3 à 4 mètres et qu’il n’y avait pas besoin d’effectuer des acrobaties pour voir ce qu’il y avait à l’intérieur de l’appartement (PV aud. 2, p. 4, R. 6). Cela étant, les photographies produites (cf. rapport de la société R.________, p.7, annexé à la P. 26 et P. 34/1) attestent d’une petite terrasse, située devant la baie vitrée et bordée de bacs à fleurs contenant des plantes d’une certaine hauteur. Au vu de l’aménagement de cet endroit, on ne saurait avoir aucun doute sur le caractère privatif de la terrasse, respectivement de la baie vitrée, quand bien même son accès n’est pas difficile. Par conséquent, il y a suffisamment d’éléments au dossier pour envisager une violation de domicile au sens de l’art. 186 CP. Le recours doit donc être admis sur ce point.</w:t>
      </w:r>
    </w:p>
    <w:p>
      <w:r>
        <w:rPr>
          <w:b/>
        </w:rPr>
        <w:t>E. 4</w:t>
      </w:r>
    </w:p>
    <w:p>
      <w:r>
        <w:t>a) Aux termes de l’art. 179 quater CP, se rend coupable de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au premier alinéa (al. 2), ou celui qui aura conservé une prise de vues ou l'aura rendue accessible à un tiers, alors qu'il savait ou devait présumer qu'elle avait été obtenue au moyen d'une infraction visée au premier alinéa (al. 3). Cette infraction suppose la réunion de trois éléments objectifs, à savoir l’existence d’un fait du domaine secret ou du domaine privé, l’observation avec un appareil de prise de vues ou la prise de vue et l’absence de consentement du destinataire. b) Le terme de « fait » au sens de la disposition précitée désigne n’importe quelle situation, à savoir tout ce qui se produit réellement ou encore tout ce qui existe. Il n’est pas nécessaire que le fait soit contraire à la bienséance ou aux usages ou que sa révélation expose la victime à un dommage ou à un tort moral (Dupuis et alii, op. cit., n. 3 ad art. 179 quater CP et les arrêts cités). Le domaine privé rassemble plus largement les événements que chacun veut partager avec un nombre restreint d’autres personnes auxquelles il est attaché par des liens relativement étroits, comme ses proches, ses amis ou ses connaissances. Il s’agit notamment de protéger des lieux de vie privée: le domicile au sens de l’art. 186 CP (maison, jardin, appartement, bureau, etc.). Les abords immédiats de ces lieux entrent aussi dans le cadre de la disposition précitée (Dupuis et alii, op. cit., n. 5 ad art. 179 quater CP et les réf. cit.). Selon la doctrine majoritaire, le fait privé intervenant en public n’est cependant pas protégé par l’art. 179 quater CP, puisque en fait chacun aurait la possibilité de l’observer. Certains auteurs réservent toutefois le comportement sournois de l’auteur ou encore le fait privé, par exemple une agression, intervenant en public indépendamment de la volonté du lésé (Dupuis et alii, op. cit., nn. 8 et 9 ad art. 179 quater CP et les réf. cit.). c) En l’espèce, il résulte de ce qui précède que les photographies du passage de la recourante à la banque [...] ou dans des magasins, ainsi que les photographies des affaires se trouvant dans la voiture de cette dernière, concernent des faits, certes privés, mais qui se sont déroulés en public, de sorte qu’ils ne sont pas protégés par l’art. 179 quater CP. En revanche, les photographies de l’intérieur de l’appartement de la recourante, quand bien même celle-ci n’apparaît pas sur les images, présentent une situation qui concerne sa vie personnelle. Ces faits sont donc suffisamment caractérisés pour qu'une violation du domaine secret ou du domaine privé au moyen d'un appareil de prise de vues au sens de l'art. 179 quater CP puisse être retenue. Le recours doit donc également être admis sur ce point.</w:t>
      </w:r>
    </w:p>
    <w:p>
      <w:r>
        <w:rPr>
          <w:b/>
        </w:rPr>
        <w:t>E. 5</w:t>
      </w:r>
    </w:p>
    <w:p>
      <w:r>
        <w:t>Au vu de l’ensemble des considérations qui précèdent, le recours de F.T.________ doit être admis et l’ordonnance attaquée annulée. Il existe en effet des indices suggérant que le prévenu s’est rendu coupable de violation de domicile au sens de l’art. 186 CP et de violation du domaine secret ou du domaine privé au moyen d'un appareil de prise de vues au sens de l'art. 179 quater CP. Il appartiendra donc au Ministère public de tirer les conclusions juridiques que ce constat comporte. En outre, lors de son audition du 30 mars 2013, W.________ a déclaré que son collègue Z.________ avait également participé à la filature de la recourante. Partant, il appartiendra au procureur d’instruire le rôle joué par ce dernier. Enfin, comme le relève la recourante, certains des relevés téléphoniques figurant au dossier portent sur des appels concernant des numéros mobiles et fixes suisses (cf. relevés téléphoniques annexés à la P. 26). Les données qui y figurent, soit notamment la durée des communications et l’identité des interlocuteurs, sont couvertes par le secret protégé par l’art. 321 ter CP (cf. Dupuis et alii, op. cit., n. 11 ad art. 321 ter CP et les réf. cit.). Le procureur n’a cependant pas envisagé les faits sous cet angle. Par conséquent, l’hypothèse d’une éventuelle violation de la disposition précitée devra également être instruite. II. Recours de W.________ Dans la mesure où l’ordonnance de classement attaquée est annulée (cf. ch. II supra) et que le recours de W.________ porte sur les effets accessoires de ce classement, soit sur la mise à sa charge des frais de procédure et le refus de lui allouer une indemnité au sens de l’art. 429 CPP, le recours du prénommé est devenu sans objet. III. Conclusions En définitive, le recours de F.T.________ doit être admis et celui de W.________ doit être considéré comme sans objet. L’ordonnance attaquée doit être annulée et le dossier de la cause renvoyé au Ministère public de l’arrondissement de La Côte pour qu’il procède dans le sens des considérants. Les frais de la procédure de recours, constitués en l’espèce de l’émolument d'arrêt (art. 422 al. 1 CPP), par 1'210 fr. (art. 20 al. 1 TFIP [Tarif des frais de procédure et indemnités en matière pénale du 28 septembre 2010; RSV 312.03.1]), seront mis à la charge de W.________, qui succombe (art. 428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de F.T.________ est admis. II. Le recours de W.________ est sans objet. III. L’ordonnance du 24 février 2014 est annulée. IV. Le dossier de la cause est renvoyé au Ministère public de l’arrondissement de La Côte pour qu’il procède dans le sens des considérants. V. Les frais d’arrêt, par 1'210 fr. (mille deux cent dix francs), sont mis à la charge de W.________. VI. Le présent arrêt est exécutoire. Le président :               La greffière : Du L'arrêt qui précède, dont la rédaction a été approuvée à huis clos, est notifié, par l'envoi d'une copie complète, à : - MM. François et Florian Chaudet, avocats (pour F.T.________), - M. Jaroslaw Grabowski, avocat (pour W.________),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