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590 vom 26. August 2010</w:t>
      </w:r>
    </w:p>
    <w:p>
      <w:r>
        <w:t>VD Tribunal cantonal, 2010-08-26, FR</w:t>
      </w:r>
    </w:p>
    <w:p>
      <w:r>
        <w:rPr>
          <w:b/>
        </w:rPr>
        <w:t xml:space="preserve">Quelle: </w:t>
      </w:r>
      <w:r>
        <w:t>https://mcp.opencaselaw.ch/entscheid/vd_findinfo_D_cision___2014___590</w:t>
      </w:r>
    </w:p>
    <w:p>
      <w:r>
        <w:t>FR: VD_FINDINFO Décision / 2014 / 590 du 26 août 2010</w:t>
      </w:r>
    </w:p>
    <w:p>
      <w:r>
        <w:t>IT: VD_FINDINFO Décision / 2014 / 590 del 26 agosto 2010</w:t>
      </w:r>
    </w:p>
    <w:p>
      <w:pPr>
        <w:pStyle w:val="Heading2"/>
      </w:pPr>
      <w:r>
        <w:t>Regeste</w:t>
      </w:r>
    </w:p>
    <w:p>
      <w:r>
        <w:t>LIBÉRATION CONDITIONNELLE, COMPORTEMENT, COMPORTEMENT IRRESPECTUEUX, PRONOSTIC | 86 CP, 26 al. 1 let. a LEP</w:t>
      </w:r>
    </w:p>
    <w:p>
      <w:pPr>
        <w:pStyle w:val="Heading2"/>
      </w:pPr>
      <w:r>
        <w:t>Erwägungen</w:t>
      </w:r>
    </w:p>
    <w:p>
      <w:r>
        <w:rPr>
          <w:b/>
        </w:rPr>
        <w:t>E. 1.1</w:t>
      </w:r>
    </w:p>
    <w:p>
      <w:r>
        <w:t>L’art. 26 al. 1 de la loi cantonale du 4 juillet 2006 sur l’exécution des condamnations pénales (LEP;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 Lorsque la durée de la peine privative de liberté prononcée à l’encontre du condamné est égale ou supérieure à six ans, le juge d’application des peines statue en collège, le collège étant formé de trois juges d’application des peines (al. 2).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w:t>
      </w:r>
    </w:p>
    <w:p>
      <w:r>
        <w:rPr>
          <w:b/>
        </w:rPr>
        <w:t>E. 1.2</w:t>
      </w:r>
    </w:p>
    <w:p>
      <w:r>
        <w:t>En l’espèce, il y a lieu d’entrer en matière sur le recours, qui a été interjeté par le condamné en temps utile, devant l’autorité compétente et qui satisfait aux conditions de forme posées par l’art. 385 al. 1 CPP.</w:t>
      </w:r>
    </w:p>
    <w:p>
      <w:r>
        <w:rPr>
          <w:b/>
        </w:rPr>
        <w:t>E. 2.1</w:t>
      </w:r>
    </w:p>
    <w:p>
      <w:r>
        <w:t>En vertu de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rPr>
          <w:b/>
        </w:rPr>
        <w:t>E. 2.1.1</w:t>
      </w:r>
    </w:p>
    <w:p>
      <w:r>
        <w:t>S’agissant tout d’abord de la condition liée au bon comportement du condamné en détention, la jurisprudence développée sous l’ancien droit (cf. art. 38 aCP) reste valable sous le nouveau droit. Ainsi, l'exigence d'un pronostic favorable constitue le critère déterminant, de sorte qu'un comportement critiquable du prévenu en détention ne dispense l'autorité d'examiner les conditions relatives au pronostic que si ce comportement atteint une certaine gravité. Des entorses à la discipline pénitentiaire, voire une évasion ne peuvent donc pas sans autre faire obstacle à un pronostic favorable, car celui-ci est en fin de compte le seul critère déterminant en matière de libération anticipée (ATF 119 IV 5 c. 1a).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Si les comportements reprochés au détenu n'atteignent pas le degré de gravité qui interdise d'emblée d'envisager la libération conditionnelle, ils peuvent encore être pris en considération dans l'établissement du pronostic (ibidem).</w:t>
      </w:r>
    </w:p>
    <w:p>
      <w:r>
        <w:rPr>
          <w:b/>
        </w:rPr>
        <w:t>E. 2.1.2</w:t>
      </w:r>
    </w:p>
    <w:p>
      <w:r>
        <w:t>Pour le surplus, l’art. 86 CP renforce le principe selon lequel la libération conditionnelle est la règle et son refus l'exception. Elle n'exige plus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(ATF 133 IV 201 c. 2.2; TF 6B_570/2011 du 19 décembre 2011 c. 3.1). Là aussi, les critères déterminants pour le diagnostic développés par la jurisprudence sous l’ancien droit restent valables.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cités; TF 6B_570/2011 du 19 décembre 2011 c. 3.1; Maire, La libération conditionnelle, in : Kuhn/Moreillon/Viredaz/Bichovsky, La nouvelle partie générale du Code pénal suisse, Berne 2006, p. 361 et les références citées). Par sa nature même, le pronostic ne saurait être tout à fait sûr; force est de se contenter d'une certaine probabilité; un risque de réitération est inhérent à toute libération, conditionnelle ou définitive (ATF 119 IV 5 c. 1b). Pour déterminer si l'on peut courir le risque de réitération, il faut non seulement prendre en considération le degré de probabilité qu'une nouvelle infraction soit commise, mais également l'importance du bien qui serait alors menacé. Ainsi, le risque de réitération que l'on peut admettre est moindre si l'auteur s'en est pris à la vie ou à l'intégrité corporelle de ses victimes que s'il a commis par exemple des infractions contre le patrimoine (ATF 133 IV 201 c. 2.3 et les arrêts cités). Il y a également lieu de rechercher si la libération conditionnelle, éventuellement assortie d'une assistance de probation et de règles de conduite, ne favoriserait pas mieux la resocialisation de l'auteur que l'exécution complète de la peine (ATF 124 IV 193 c. 4d/aa/bb; TF 6B_825/2011 du 8 mai 2012 c. 1.1; TF 6B_915/2013 du 18 novembre 2013 c. 4.1). Enfin,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w:t>
      </w:r>
    </w:p>
    <w:p>
      <w:r>
        <w:rPr>
          <w:b/>
        </w:rPr>
        <w:t>E. 2.2</w:t>
      </w:r>
    </w:p>
    <w:p>
      <w:r>
        <w:t>En l'espèce, la condition objective des deux tiers de la peine prévue par l'art. 86 al. 1 CP est réalisée depuis le 23 juin 2014. Il convient donc de déterminer si le comportement de X.________ en détention s'oppose ou non à un élargissement anticipé et d’établir un pronostic concernant son comportement futur. S’agissant du comportement de X.________ en détention, le Collège des juges d'application des peines a laissé ouverte la question de savoir si celui-ci s’opposait en lui-même à l’octroi de la libération conditionnelle, considérant que les multiples incidents qui émaillaient le parcours du condamné en détention semblaient davantage liés à des difficultés d’ordre psychiatrique — et en particulier à un sentiment de persécution développé à l’égard du personnel de surveillance des divers établissements où il a séjourné — qu’à une attitude oppositionnelle témoignant d’une non-acceptation de sa peine. La Cours de céans considère que cette retenue n’a pas lieu d’être dans le cas de X.________. En effet, depuis le début de son incarcération en 2010, le condamné n’a eu de cesse de remettre en cause l’autorité, de se montrer insultant, violent et agressif tant envers le personnel de surveillance qu’envers ses co-détenus. Tout au long de sa détention, il a régulièrement commis des déprédations dans sa cellule. Ces comportements lui ont valu de nombreuses sanctions disciplinaires, de longs séjours en secteur d’isolement cellulaire et plusieurs changements d’établissements, tous les transferts de ce condamné devant par ailleurs se faire sous hautes mesures de sécurité. X.________ a répété le même schéma de violence, de déprédation et d’agressivité. Son argumentation selon laquelle son comportement serait dû à l’attitude et aux craintes d’un seul surveillant des EPO à son égard n’est donc pas crédible. Pour le surplus, il n’est jamais parvenu à s’intégrer dans un groupe de travail et, les rares fois où il a travaillé à l’atelier du secteur évaluation, la qualité de son travail a été jugée insuffisante. En définitive, les comportements reprochés au détenu – qui constituent des atteintes graves au fonctionnement des différents établissements dans lesquels il a consécutivement été placé, ainsi qu’à l’intégrité physique du personnel et des codétenus – atteignent donc largement le degré de gravité qui interdit d'emblée d'envisager la libération conditionnelle. Pour ce motif déjà, la libération conditionnelle doit donc être refusée à X.________.</w:t>
      </w:r>
    </w:p>
    <w:p>
      <w:r>
        <w:rPr>
          <w:b/>
        </w:rPr>
        <w:t>E. 2.3</w:t>
      </w:r>
    </w:p>
    <w:p>
      <w:r>
        <w:t>Par surabondance, le pronostic quant au comportement futur du recourant est à l’évidence défavorable. En effet, comme l’a très justement relevé l’autorité de première instance, il ressort clairement de l’ensemble du dossier la persistance, chez X.________, d’une problématique de violence dont il n’a pas conscience ou qu’il refuse de prendre en considération. Cette problématique est à l’origine de sa condamnation, mais également des multiples incidents — dont certains très graves — survenus tout au long de sa détention. On rappellera d’ailleurs que, pour un motif futile, le condamné n’a pas hésité à s’en prendre au bien juridiquement protégé le plus précieux, à savoir la vie d’autrui. Or, à ce jour, l’amendement du recourant, son introspection et la prise de conscience de la gravité de ses actes apparaissent largement insuffisants. Certes, la jurisprudence considère que la libération conditionnelle ne doit pas être subordonnée à une reconnaissance des actes ou de l'illicéité des actes ayant conduit à la condamnation. Elle admet néanmoins qu’il s'agit d'un indice susceptible d’intervenir dans l’établissement du pronostic (ATF 124 IV 193 c. 5b/ee). Dans le cas d’espèce, X.________ parvient aujourd’hui à admettre – à tout le moins devant les autorités – qu’il a « fait quelque chose de mal ». Toutefois, dans le même temps, il indique avoir agi en état de légitime défense, persistant à se positionner en victime et rejetant la responsabilité de ses actes sur autrui. Manifestement, le condamné n’a donc pas évolué dans sa réflexion relative aux infractions qu’il a commises. Par ailleurs, et nonobstant l’effet positif induit par la médication qui lui a été administrée lors de son séjour à l’lnselspital, le condamné persiste à refuser de collaborer avec le SMPP et s’oppose à la prise du traitement qui paraît susceptible de l’apaiser. Dans ces conditions, c’est à juste titre que le Collège des juges d'application des peines a retenu à ce stade que X.________ présentait un risque de récidive élevé en matière d’infractions contre la vie ou l’intégrité corporelle notamment. Enfin, les projets particulièrement flous du condamné pour sa libération, son discours ambigu concernant un éventuel retour au Nigeria, le fait que l’on ignore tout des conditions dans lesquelles il pourrait vivre dans ce pays et l’absence manifeste d’effet dissuasif du solde de peine en cas de décompensation du condamné ne permettent pas de renverser ce pronostic manifestement défavorable qui s’impose en l’état, ce d’autant que la possibilité de prévoir des règles de conduite ou une assistance de probation n'entre pas en considération au vu de l’obligation du condamné de quitter notre pays dès sa libération. En conséquence, au vu du risque de récidive que présente encore actuellement l’intéressé, aucune autre mesure que la poursuite de l'exécution de la peine privative de liberté ne paraît à ce stade envisageable pour préserver la sécurité publique. Un pronostic défavorable doit donc être posé et aucun élément ne permet de considérer que la libération conditionnelle favoriserait mieux la resocialisation de X.________ que la poursuite de l'exécution de sa peine. Partant, le jugement du Collège des juges d'application des peines échappe à la critique. Il appartiendra en particulier au condamné de mettre à profit la suite de son exécution de peine pour établir une relation d’entente avec le SMPP, évoluer dans les différents régimes de détention et organiser son retour au Nigeria.</w:t>
      </w:r>
    </w:p>
    <w:p>
      <w:r>
        <w:rPr>
          <w:b/>
        </w:rPr>
        <w:t>E. 2.4</w:t>
      </w:r>
    </w:p>
    <w:p>
      <w:r>
        <w:t>Enfin, contrairement à la conclusion IV prise par le recourant, il n’y a pas lieu de suspendre la procédure jusqu’à ce que le condamné ait organisé son retour au Nigeria, étant précisé que l’autorité doit procéder à un nouvel examen au moins une fois par an (art. 86 al. 3 CP). Ce délai permettra ainsi au recourant d’organiser son retour au Nigeria en soumettant à l’autorité toutes les pièces utiles à l’examen de la question.</w:t>
      </w:r>
    </w:p>
    <w:p>
      <w:r>
        <w:rPr>
          <w:b/>
        </w:rPr>
        <w:t>E. 3</w:t>
      </w:r>
    </w:p>
    <w:p>
      <w:r>
        <w:t>Il résulte de ce qui précède que le recours doit être rejeté sans autres échanges d'écritures (art. 390 al. 2 CPP). Les frais de la procédure de recours, constitués en l’espèce de l’émolument d'arrêt, par 1’980 fr. (art. 20 al. 1 TFIP  [Tarif des frais de procédure et indemnités en matière pénale du 28 septembre 2010; RSV 312.03.1]), et des frais imputables à la défense d’office (art. 422 al. 1 et 2 let. a CPP), fixés à 630 fr., plus 50 fr. 40 de TVA, soit 680 fr. 40,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La décision du Collège des juges d'application des peines du 24 juin 2014 est confirmée. III. L'indemnité allouée au défenseur d'office de X.________ est fixée à 680 fr. 40 (six cent huitante francs et quarante centimes). IV. Les frais d'arrêt, par 1'980 fr. (mille neuf cent huitante francs), ainsi que l'indemnité due au défenseur d'office de X.________ selon le chiffre III ci-dessus, sont mis à la charge de ce dernier. V. Le remboursement à l'Etat de l'indemnité allouée au chiffre III ci-dessus sera exigible pour autant que la situation économique de X.________ se soit améliorée. VI. L’arrêt est exécutoire. Le président :               La greffière : Du L'arrêt qui précède, dont la rédaction a été approuvée à huis clos, est notifié, par l'envoi d'une copie complète, à : - Mme Françoise Trümpy-Waridel, avocate (pour X.________), - Ministère public central, et communiqué à : ‑ Mme le Juge d'application des peines, - M. le Procureur du Ministère public central, division affaires spéciales, contrôle et mineurs, - Office d'exécution des peines (OEP/PPL/72233/AVI/BD), - Direction des Etablissements de la plaine de l’Orbe, - Service de la population et des étrangers (secteur départs)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