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58 vom 22. Januar 2014</w:t>
      </w:r>
    </w:p>
    <w:p>
      <w:r>
        <w:t>VD Tribunal cantonal, 2014-01-22, FR</w:t>
      </w:r>
    </w:p>
    <w:p>
      <w:r>
        <w:rPr>
          <w:b/>
        </w:rPr>
        <w:t xml:space="preserve">Quelle: </w:t>
      </w:r>
      <w:r>
        <w:t>https://mcp.opencaselaw.ch/entscheid/vd_findinfo_D_cision___2014___58</w:t>
      </w:r>
    </w:p>
    <w:p>
      <w:r>
        <w:t>FR: VD_FINDINFO Décision / 2014 / 58 du 22 janvier 2014</w:t>
      </w:r>
    </w:p>
    <w:p>
      <w:r>
        <w:t>IT: VD_FINDINFO Décision / 2014 / 58 del 22 gennaio 2014</w:t>
      </w:r>
    </w:p>
    <w:p>
      <w:pPr>
        <w:pStyle w:val="Heading2"/>
      </w:pPr>
      <w:r>
        <w:t>Regeste</w:t>
      </w:r>
    </w:p>
    <w:p>
      <w:r>
        <w:t>RISQUE DE FUITE, RISQUE DE COLLUSION, RISQUE DE RÉCIDIVE, DÉTENTION PRÉVENTIVE | 221 al. 1 let. a CPP (CH), 221 al. 1 let. b CPP (CH), 221 al. 1 let. c CPP (CH)</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devant l’autorité compétente et qui satisfait aux conditions de forme posées par l’art. 385 al. 1 CPP.</w:t>
      </w:r>
    </w:p>
    <w:p>
      <w:r>
        <w:rPr>
          <w:b/>
        </w:rPr>
        <w:t>E. 2</w:t>
      </w:r>
    </w:p>
    <w:p>
      <w:r>
        <w:t>a) Le recourant soutient qu’il n’existerait plus de soupçons suffisants de culpabilité d’avoir commis un crime ou un délit à son encontre. b)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mise en détention provisoire n’est possible que s’il existe à l’égard de l’auteur présumé, et préalablement à toute autre cause, de graves soupçons de culpabilité d’avoir commis un crime ou un délit (ATF 139 IV 186 c. 2; Schmocker, in: Kuhn/Jeanneret [éd.], Commentaire romand, Code de procédure pénale suisse, Bâle 2011, nn. 7 ss ad art. 221 CPP, pp. 1024 ss). c) En l’espèce le recourant explique que lors de sa dernière audition (PV aud. de R.________, du 16 décembre 2013), il a déclaré qu’en date du 15 novembre 2013 la plaignante se serait rendue à proximité du Bois-Mermet, où il est détenu, et qu’elle lui aurait crié que sa mère, opposée depuis toujours à cette relation, l’avait poussée à mentir et à inventer les faits portant sur l’infraction contre l’intégrité sexuelle (recours, p. 3). Cet argument ne change toutefois absolument rien à la situation car, à supposer que les déclarations du recourant du 16 décembre 2013 correspondraient à la vérité, R.________ est mis en cause par plusieurs personnes et il est plus que probable que la victime éprouve des remords au vu de la détention du prévenu et qu’elle soit tentée de minimiser la gravité des faits. Il n’en demeure dès lors pas moins que les charges pesant sur celui-ci sont toujours identiques. Par conséquent, la Cour de céans se réfère à ses arrêts des 23 juillet 2013 et 17 octobre 2013, qui demeurent d’actualité, pour admettre l’existence d’une présomption suffisamment sérieuse de culpabilité à l’encontre du recourant.</w:t>
      </w:r>
    </w:p>
    <w:p>
      <w:r>
        <w:rPr>
          <w:b/>
        </w:rPr>
        <w:t>E. 3</w:t>
      </w:r>
    </w:p>
    <w:p>
      <w:r>
        <w:t>a) Le Tribunal des mesures de contrainte a retenu que le recourant présentait un risque de réitération ainsi qu’un risque de passage à l’acte. b) Selon la jurisprudence, il convient de faire preuve de retenue dans l'appréciation du risque de récidive , le maintien en détention ne pouvant se justifier pour ce motif que si le pronostic est très défavorable et si les délits dont l'autorité redoute la réitération sont graves (TF 1B_731/2011 du 16 janvier 2012 c. 3.1 et les arrêts cités; CREP, 19 décembre 2011/550).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(Schmocker, op. cit., n. 20 ad art. 221 CPP, p. 1028).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devant en effet permettre de faire prévaloir l'intérêt à la sécurité publique sur la liberté personnelle du prévenu (TF 1B_731/2011 précité c. 3.1). Le risque de récidive peut également se fonder sur les infractions faisant l'objet de la procédure pénale en cours, si le prévenu est fortement soupçonné de les avoir commises ( ATF 137 IV 84 c. 3.2 et les réf. citées; Schmocker, op. cit. , n. 18 ad art. 221 CPP ). L’art. 221 al. 2 CPP prévoit que la détention peut être ordonnée s'il y a sérieusement lieu de craindre qu'une personne passe à l'acte après avoir menacé de commettre un crime grave. Une détention ordonnée en application de ce motif a donc pour objectif d'éviter la concrétisation d'un crime, mais non d'un délit (ATF 137 IV 122). Ce motif de détention peut non seulement s'appliquer à une personne ayant accompli des actes préparatoires délictueux au sens de l'art. 260 bis CP ou ayant commis une tentative au sens de l'art. 22 CP, mais également à une personne s'étant livrée à d'autres actes non prévus par la loi lorsque ceux-ci sont en tous points comparables s'agissant du risque de commission d'un crime (Schmocker, op. cit., n. 22 ad art. 221 CPP et les références citées). En outre, pour admettre que le recourant menace sérieusement de passer à l'acte, il suffit que, sur la base de sa situation personnelle et des circonstances d'espèce, la probabilité de passage à l'acte puisse être considérée comme très élevée (Schmocker, op. cit., n. 22 ad art. 221 CPP; CREP 14 mai 2012/238). c) En l’espèce, la Cour de céans se réfère dans leur intégralité aux considérants qu'elle a développés dans ses arrêts des 23 juillet 2013 et 17 octobre 2013, qui conservent leur pertinence. Ce procédé est admissible au regard des exigences du droit d’être entendu (TF 1B_149/2010 du 1 er juin 2010 c. 1.3; CREP 23 octobre 2012/634). Elle relève au surplus que l’argument concernant les déclarations que B.________ lui aurait faites le 15 novembre 2013, soulevé ici encore par le recourant, ne constitue pas un élément nouveau venant contredire ou modifier l’appréciation de la Cour de céans sur ce point, pour les raisons expliquées au considérant 2c ci-dessus. En l’état, force est dès lors d’admettre que les risques de récidive et de passage à l’acte doivent toujours être considérés comme majeurs. Aucune mesure de substitution n’est susceptible de pallier ces risques. Enfin, il n’y a pas lieu d’examiner les risques de fuite et de collusion, dans la mesure où les conditions du maintien en détention provisoire sont réalisées par les risques de réitération et de passage à l’acte.</w:t>
      </w:r>
    </w:p>
    <w:p>
      <w:r>
        <w:rPr>
          <w:b/>
        </w:rPr>
        <w:t>E. 4</w:t>
      </w:r>
    </w:p>
    <w:p>
      <w:r>
        <w:t>a) Le recourant invoque une violation du principe de proportionnalité. b)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c) En l'espèce, R.________ est détenu depuis le 6 juillet 2013, soit depuis un peu plus de six mois. Il est mis en cause pour voies de fait, lésions corporelles simples, injure, menaces, dommages à la propriété, contrainte sexuelle et viol. Compte tenu de la gravité des charges qui pèsent sur lui, la durée de sa détention provisoire demeure encore proportionnée à la peine à laquelle il s'expose.</w:t>
      </w:r>
    </w:p>
    <w:p>
      <w:r>
        <w:rPr>
          <w:b/>
        </w:rPr>
        <w:t>E. 5</w:t>
      </w:r>
    </w:p>
    <w:p>
      <w:r>
        <w:t>Il résulte de ce qui précède que le recours, manifestement mal fondé, doit être rejeté sans autres échanges d’écritures (art. 390 al. 2 CPP). Les frais de la procédure de recours, constitués en l’espèce de l’émolument d'arrêt, par 770 fr. (art. 20 al. 1 TFJP [tarif des frais judiciaires pénaux; RSV 312.03.1]) et des frais imputables à la défense d’office (art. 422 al. 1 et 2 let. a CPP), fixés à 540 fr., plus la TVA par 43 fr. 20, soit un total de 583 fr. 20, seront mis à la charge de R.________, qui succombe (art. 428 al. 1 CPP). Le remboursement à l’Etat de l’indemnité allouée au défenseur d’office de R.________ ne sera toutefois exigible que pour autant que la situation économique de ce dernier se soit améliorée (art. 135 al. 4 CPP). Par ces motifs, la Chambre des recours pénale, statuant à huis clos, prononce : I. Le recours est rejeté. II. L’ordonnance du</w:t>
      </w:r>
    </w:p>
    <w:p>
      <w:r>
        <w:rPr>
          <w:b/>
        </w:rPr>
        <w:t>E. 6</w:t>
      </w:r>
    </w:p>
    <w:p>
      <w:r>
        <w:t>janvier 2014 est confirmée. III. L’indemnité allouée au défenseur d'office de R.________ est fixée à 583 fr. 20 (cinq cent huitante-trois francs et vingt centimes). IV. Les frais du présent arrêt, par 770 fr. (sept cent septante francs), ainsi que l’indemnité due au défenseur d’office de R.________, par 583 fr. 20 (cinq cent huitante-trois francs et vingt centimes), sont mis à la charge de ce dernier. V. Le remboursement à l'Etat de l'indemnité allouée au chiffre III ci-dessus ne sera exigible que pour autant que la situation économique de R.________ se soit améliorée. VI. Le présent arrêt est exécutoire. Le président :               La greffière : Du L'arrêt qui précède, dont la rédaction a été approuvée à huis clos, est notifié, par l'envoi d'une copie complète, à : - M. Jeton Kryeziu, avocat (pour R.________), - Ministère public central, et communiqué à - Mme la Présidente du Tribunal des mesures de contrainte, - M. le Procureur de l’arrondissement de Lausanne, - Monsieur Fabien Mingard, avocat (pour B.________),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