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579 vom 7. Juli 2014</w:t>
      </w:r>
    </w:p>
    <w:p>
      <w:r>
        <w:t>VD Tribunal cantonal, 2014-07-07, FR</w:t>
      </w:r>
    </w:p>
    <w:p>
      <w:r>
        <w:rPr>
          <w:b/>
        </w:rPr>
        <w:t xml:space="preserve">Quelle: </w:t>
      </w:r>
      <w:r>
        <w:t>https://mcp.opencaselaw.ch/entscheid/vd_findinfo_D_cision___2014___579</w:t>
      </w:r>
    </w:p>
    <w:p>
      <w:r>
        <w:t>FR: VD_FINDINFO Décision / 2014 / 579 du 7 juillet 2014</w:t>
      </w:r>
    </w:p>
    <w:p>
      <w:r>
        <w:t>IT: VD_FINDINFO Décision / 2014 / 579 del 7 luglio 2014</w:t>
      </w:r>
    </w:p>
    <w:p>
      <w:pPr>
        <w:pStyle w:val="Heading2"/>
      </w:pPr>
      <w:r>
        <w:t>Regeste</w:t>
      </w:r>
    </w:p>
    <w:p>
      <w:r>
        <w:t>RISQUE DE COLLUSION, RISQUE DE RÉCIDIVE, PRINCIPE DE LA CÉLÉRITÉ | 221 al. 1 let. b CPP (CH), 221 al. 1 let. c CPP (CH), 227 CPP (CH), 393 al. 1 let. c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Selon l'art. 212 al. 3 CPP, la détention provisoire et la détention pour des motifs de sûreté ne doivent pas durer plus longtemps que la peine privative de liberté prévisible. b) La mise en détention provisoire n’est possible que s’il existe à l’égard de l’auteur présumé, et préalablement à toute autre cause, de graves soupçons de culpabilité d’avoir commis un crime ou un délit (ATF 134 IV 186 c. 2; Schmocker, in Kuhn/Jeanneret (éd.), Commentaire romand, Code de procédure pénale suisse, Bâle 2011, nn. 7 ss ad art. 221 CPP, pp. 1024 ss). En l’espèce, le recourant ne conteste à juste titre pas l’existence de présomptions suffisantes de culpabilité à son encontre.</w:t>
      </w:r>
    </w:p>
    <w:p>
      <w:r>
        <w:rPr>
          <w:b/>
        </w:rPr>
        <w:t>E. 3</w:t>
      </w:r>
    </w:p>
    <w:p>
      <w:r>
        <w:t>a) Le recourant conteste d’abord le risque de collusion (art. 221 al. 1 let. b CPP). b) Ce risque existe notamment lorsqu’il est à craindre que l’intéressé ne mette sa liberté à profit pour faire disparaître ou altérer les preuves, ou qu’il prenne contact avec des témoins ou d’autres prévenus pour tenter d’influencer leurs déclarations (TF 1B_55/2010 du 11 mars 2010 c. 3.1). Le risque de collusion doit être étayé par des faits concrets et précis; la simple possibilité théorique que le prévenu se livre à des manoeuvres destinées à compromettre la recherche de la vérité ne suffit pas (ATF 132 I 21 c. 3.2; Schmocker, op. cit., n. 16 ad art. 221 CPP). c) En l’espèce, des mesures d’instruction visant en particulier à interpeller et à auditionner les comparses zurichois du recourant, désormais identifiés, qui se chargeaient de la récolte de marijuana produite dans le hangar situé à Glovelier, sont en cours. Le résultat des investigations précitées pourrait être compromis si le recourant venait à être remis en liberté. En effet, dans la mesure où le recourant minimise toujours son implication dans le trafic de marijuana et attribue à ses comparses zurichois un rôle prépondérant, il est fort à craindre qu’en cas de libération, il se concerte avec ceux-ci, en vue d’influencer leurs déclarations et de faire obstacle à la manifestation de la vérité. C'est donc à juste titre que le Tribunal des mesures de contrainte a retenu le risque de collusion. En outre, aucune mesure de substitution ne saurait éliminer ce risque.</w:t>
      </w:r>
    </w:p>
    <w:p>
      <w:r>
        <w:rPr>
          <w:b/>
        </w:rPr>
        <w:t>E. 4</w:t>
      </w:r>
    </w:p>
    <w:p>
      <w:r>
        <w:t>a) Le recourant conteste ensuite le risque de récidive (art. 221 al. 1 let. c CPP). b) Le maintien en détention ne peut se justifier en raison d’un risque de réitération que si le pronostic est très défavorable et si les délits dont l'autorité redoute la réitération sont graves (ATF 137 IV 84 c. 4.5, JT 2011 IV 325; ATF 135 I 71 c. 2.3; ATF 133 I 270 c. 2.2 et les arrêts cités, JT 2011 IV 3; TF 1B_39/2013 du 14 février 2013 c. 2.1). Le risque de récidive peut également se fonder sur les infractions faisant l'objet de la procédure pénale en cours, si le prévenu est fortement soupçonné – avec une probabilité confinant à la certitude – de les avoir commises (ATF 137 IV 84 c. 3.2 et les références citées, JT 2011 IV 325; TF 1B_39/2013 ibidem).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prévention du risque de récidive doit permettre de faire prévaloir l'intérêt à la sécurité publique sur la liberté personnelle du prévenu (ATF 137 IV 13 c. 4.5). c) En l’espèce, il n’y a aucun élément nouveau permettant de mettre en doute l'appréciation faite précédemment sur ce point, de sorte que la cour de céans se réfère à son arrêt rendu le 24 décembre 2013 pour admettre l’existence du risque de récidive, en rappelant qu’au vu de la très grande quantité de marijuana en cause, il s’agit d’un cas où la sécurité et la santé publiques priment clairement sur la liberté personnelle de V.________. Le risque de récidive (art. 221 al. 1 let. c CPP) est donc concret et justifie également le placement du recourant en détention provisoire. En outre, aucune mesure de substitution n’est susceptible de pallier ce risque.</w:t>
      </w:r>
    </w:p>
    <w:p>
      <w:r>
        <w:rPr>
          <w:b/>
        </w:rPr>
        <w:t>E. 5</w:t>
      </w:r>
    </w:p>
    <w:p>
      <w:r>
        <w:t>a) Le recourant invoque également une violation du principe de célérité. En substance, il fait valoir que les neuf mois mis à disposition des autorités compétentes pour entreprendre des démarches à l’encontre des comparses zurichois et préserver tout risque de collusion seraient amplement suffisants. b) Concrétisant le principe de célérité, l'art. 5 CPP impose aux autorités pénales d'engager les procédures pénales sans délai et de les mener à terme sans retard injustifié (al. 1), la procédure devant être conduite en priorité lorsqu'un prévenu est placé en détention (al. 2). L’incarcération peut être considérée comme disproportionnée en cas de retard injustifié dans le cours de la procédure pénale (TF 1B_150/2012 du 30 mars 2012 c. 3 et les arrêts cités). Il doit toutefois s'agir d'un manquement particulièrement grave, faisant au surplus apparaître que l'autorité de poursuite n'est plus en mesure de conduire la procédure à chef dans un délai raisonnable (ibid.).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(ibid.). c) En l’espèce, il convient d’abord de relever que l’affaire est complexe, au vu du nombre de personnes impliquées et des opérations à entreprendre dans plusieurs cantons. Il apparaît ensuite que le Ministère public est dans l'attente des résultats de l’interpellation et de l’audition des comparses zurichois. Cette mesure d’instruction devrait notamment lui permettre d’établir plus précisément l’ampleur de l’activité délictueuse du recourant et d’établir les liens entre ce dernier et les autres protagonistes. L’instruction se poursuit donc et en l’état, on ne saurait considérer qu’il y a un retard injustifié dans l’avancement de la procédure. Partant, le moyen invoqué par le recourant doit être rejeté.</w:t>
      </w:r>
    </w:p>
    <w:p>
      <w:r>
        <w:rPr>
          <w:b/>
        </w:rPr>
        <w:t>E. 6</w:t>
      </w:r>
    </w:p>
    <w:p>
      <w:r>
        <w:t>a) Enfin, concernant le respect du principe de proportionnalité,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b) En l’espèce, V.________ est détenu depuis le 19 septembre 2013, soit depuis près de 10 mois. Compte tenu de la gravité des infractions qui lui sont reprochées, en particulier de sa participation à un trafic de drogue d’envergure, et de ses antécédents, le recourant s'expose à une peine d’une durée manifestement supérieure à celle de la détention provisoire subie à ce jour. Le principe de la proportionnalité demeure donc respecté.</w:t>
      </w:r>
    </w:p>
    <w:p>
      <w:r>
        <w:rPr>
          <w:b/>
        </w:rPr>
        <w:t>E. 7</w:t>
      </w:r>
    </w:p>
    <w:p>
      <w:r>
        <w:t>Il résulte de ce qui précède que le recours, manifestement mal fondé, doit être rejeté sans autres échanges d’écritures. Les frais de la procédure de recours, constitués en l’espèce du seul émolument d'arrêt, par 770 fr. (art. 20 al. 1 TFJP [tarif des frais judiciaires pénaux; RSV 312.03.1]), seront mis à la charge du recourant, qui succombe (art. 428 al. 1 CPP). Par ces motifs, la Chambre des recours pénale, statuant à huis clos, prononce : I. Le recours est rejeté. II. L’ordonnance du 20 juin 2014 est confirmée. III. Les frais d’arrêt, par 770 fr. (sept cent septante francs), sont mis à la charge de V.________. IV. Le présent arrêt est exécutoire. Le président :               La greffière : Du L'arrêt qui précède, dont la rédaction a été approuvée à huis clos, est notifié, par l'envoi d'une copie complète, à : - M. V.________, - Ministère public central; et communiqué à : - M. le Président du Tribunal des mesures de contraintes,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