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578 vom 4. Juli 2014</w:t>
      </w:r>
    </w:p>
    <w:p>
      <w:r>
        <w:t>VD Tribunal cantonal, 2014-07-04, FR</w:t>
      </w:r>
    </w:p>
    <w:p>
      <w:r>
        <w:rPr>
          <w:b/>
        </w:rPr>
        <w:t xml:space="preserve">Quelle: </w:t>
      </w:r>
      <w:r>
        <w:t>https://mcp.opencaselaw.ch/entscheid/vd_findinfo_D_cision___2014___578</w:t>
      </w:r>
    </w:p>
    <w:p>
      <w:r>
        <w:t>FR: VD_FINDINFO Décision / 2014 / 578 du 4 juillet 2014</w:t>
      </w:r>
    </w:p>
    <w:p>
      <w:r>
        <w:t>IT: VD_FINDINFO Décision / 2014 / 578 del 4 luglio 2014</w:t>
      </w:r>
    </w:p>
    <w:p>
      <w:pPr>
        <w:pStyle w:val="Heading2"/>
      </w:pPr>
      <w:r>
        <w:t>Regeste</w:t>
      </w:r>
    </w:p>
    <w:p>
      <w:r>
        <w:t>DÉTENTION PROVISOIRE, PROPORTIONNALITÉ | 221 CPP (CH), 237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Ces trois motifs ne sont pas cumulatifs, le fait que l'un d'eux au moins soit réalisé permet de justifier la détention provisoire. La détention provisoire et la détention pour des motifs de sûreté ne doivent pas durer plus longtemps que la peine privative de liberté prévisible (art. 212 al. 3 CPP).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Dans son ordonnance du 27 mars 2004, le Tribunal des mesures de contrainte constatait l'existence de graves soupçons de culpabilité à l'encontre de H.________. Les faits qui avaient justifié cette constatation n'ont pas été infirmés. Les nouveaux éléments de l'enquête exposés par le Ministère public dans sa requête de prolongation de la détention provisoire du 10 juin 2014 appuient ces constatations et aggravent les soupçons, l'intéressé pouvant désormais sérieusement être soupçonné d'avoir participé à un trafic de drogue de grande envergure. On peut donc admettre à ce stade l’existence de soupçons suffisants contre le prévenu, étant précisé qu’il n’appartient pas au juge de la détention de procéder à une pesée complète des éléments à charge et à décharge et d’apprécier, à la manière du juge du fond, la crédibilité des personnes qui mettent en cause le prévenu ( ATF 137 IV 122 c. 3.2; TF 1B_414/2011 du 5 septembre 2011 c. 3.1). c) Le Tribunal des mesures de contrainte a ordonné la prolongation de la détention provisoire en raison du risque de fuite.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Le recourant plaide que sa fuite ne serait pas à craindre, dès lors que sa concubine est enceinte et que la prison l'aurait amené à prendre conscience de ses actes, voire à accepter sa future condamnation. Né [...], le prévenu est venu en Allemagne vers l'âge de 16 ans et y a acquis la nationalité. Arrivé en Suisse en 2010, où il séjourne depuis lors au bénéfice d'un permis B, l'intéressé est actuellement sans travail et sans attache; il vit de son trafic. La peine que le prévenu encourt pour le trafic de stupéfiants dont il est soupçonné est de trois à cinq ans de prison. Au vu de cette peine, le risque de fuite est important, quoi qu'il en dise. L'argument de H.________ selon lequel la grossesse de son amie le retiendrait en Suisse n'est pas davantage décisif. Il n'a, en effet, pas hésité à laisser deux de ses enfants en Allemagne sans leur verser la moindre pension (PV aud. du 24 mars 2014 p. 3). Pour ces motifs, le risque de fuite demeure concret (art. 221 al.1 let. a CPP). Pour le surplus, on doit constater que le risque de récidive est également réalisé. Dépendant de la cocaïne depuis trois ans et sans possibilité de réinsertion immédiate, le risque de rechute dans la consommation de stupéfiants et donc de récidive dans le trafic de drogue, sont très grands. d) Le recourant reproche au Tribunal des mesures de contrainte de ne pas avoir suffisamment motivé son ordonnance sur la question de la possibilité de mettre en œuvre des mesures de substitution. Il invoque une violation de son droit d'être entendu. Le droit d'être entendu, garanti par l'art. 29 al. 2 Cst. (Constitution fédérale de la Confédération suisse du 18 avril 1999; RS 101), implique notamment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pas se prononcer sur tous les moyens des parties; elle peut se limiter aux questions décisives (CREP 10 juin 2014/393 c. 2b et les références citées). Certes, la motivation du Tribunal des mesures de contrainte au sujet des mesures de substitution proposées par le prévenu est succincte. Elle est toutefois suffisante pour permettre au recourant de comprendre que le tribunal s'est effectivement penché sur la question et a considéré que les mesures proposées étaient insuffisantes en l'état. Mal fondé, ce moyen doit être rejeté. e) H.________ invoque une violation du principe de proportionnalité, en particulier parce que le premier juge n'a pas donné suite à sa requête de mesures de substitution à la détention telles qu'il les avait décrites et motivées dans sa détermination du 16 juin 2014. 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(CREP 10 juin 2014, op, cit. c. 4b). Le recourant prétend que la saisie de ses pièces d'identité et autres documents officiels préviendrait efficacement le risque de fuite. Cette mesure ne l'empêcherait toutefois pas de passer la frontière et de retourner en Allemagne, pays de l'Espace Schengen dont il a la nationalité et où il a laissé deux de ses enfants. L'intéressé considère qu'une assignation à résidence avec bracelet électronique l'empêcherait de fuir. Or cette mesure ne saurait pallier efficacement le risque de fuite, à défaut de GPS. H.________ plaide que l’interdiction de contracter un abonnement de téléphonie mobile, portée à la connaissance de tous les opérateurs nationaux, préviendrait efficacement le risque de récidive. Cette condition est invérifiable, et donc manifestement insuffisante. En outre, dans la mesure où H.________ est soupçonné d'avoir été un pilier de l'écoulement de cocaïne dans la région d'Aigle, il y est connu et sera donc immédiatement sollicité en cas de libération. Le prévenu demande à être soumis à l'obligation de travailler. Il fait valoir qu'un entrepreneur de la région d[...] serait disposé à l'accueillir pour un placement non rémunéré qui pourrait aboutir à la conclusion d'un contrat de travail, et que son beau-père serait disposé à l'occuper régulièrement avec des travaux de réfection de la maison familiale, maison qui se trouverait à proximité directe de son domicile, ce qui faciliterait la mise en œuvre simultanée d'une surveillance au moyen du bracelet électronique. Une telle mesure peut diminuer le risque de récidive, mais n'empêcherait pas l'intéressé de prendre la fuite. Elle est donc insuffisante pour pallier le risque constaté. H.________ se dit prêt à se soumettre à des contrôles réguliers d'abstinence qui seraient effectués par son médecin traitant. On ne voit toutefois pas en quoi de tels contrôles empêcheraient l'intéressé de prendre la fuite. Le recourant se soumettrait aussi à une prise en charge médicale et accepterait un placement thérapeutique, censés pallier les risque de récidive et de fuite, dès lors que les soins seraient donnés en milieu fermé. Or la mise en place d'une telle mesure doit reposer sur les conclusions d'une expertise psychiatrique, ou tout au moins d'un rapport médical, tous éléments faisant défaut en l'état. En définitive et comme le constate l'ordonnance attaquée, aucune des mesures proposées par le recourant ne saurait entrer en ligne de compte au titre de mesure de substitution. C'est donc à juste titre que le premier juge n'est pas entré en matière sur ces propositions. f) Pour le reste, H.________ s'expose à une peine d’une durée manifestement supérieure à celle de la détention provisoire subie à ce jour (art. 19 al. 1 ch. 2 let. a LStup). La détention provisoire prolongée par le premier juge pour une durée de trois mois jusqu'au 24 septembre 2014 respecte ainsi le principe de la proportionnalité.</w:t>
      </w:r>
    </w:p>
    <w:p>
      <w:r>
        <w:rPr>
          <w:b/>
        </w:rPr>
        <w:t>E. 3</w:t>
      </w:r>
    </w:p>
    <w:p>
      <w:r>
        <w:t>En définitive, le recours, manifestement mal fondé, doit être rejeté sans autres échanges d'écritures (art. 390 al. 2 CPP) et l'ordonnance du 17 juin 2014 confirmée. Les frais de la procédure de recours, constitués de l'émolument d’arrêt, par 1'100 fr. (art. 20 al. 1 TFIP [Tarif des frais de procédure et indemnités en matière pénale du 28 septembre 2010, RSV 312.03.1]), et des frais imputables à la défense d’office du recourant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17 juin 2014 est confirmée. III . L'indemnité allouée au défenseur d'office de H.________ est fixée à 583 fr. 20 (cinq cent huitante-trois francs et vingt centimes). IV . Les frais du présent arrêt, par 1'100 fr. (mille cent francs), ainsi que l'indemnité due au défenseur d'office de H.________, par 583 fr. 20 (cinq cent huitante-trois francs et vingt centimes), sont mis à la charge de ce dernier. V. Le remboursement à l'Etat de l'indemnité allouée au chiffre III ci-dessus sera exigible pour autant que la situation économique de H.________ se soit améliorée. VI. Le présent arrêt est exécutoire. Le président :               La greffière : Du L'arrêt qui précède, dont la rédaction a été approuvée à huis clos, est notifié, par l'envoi d'une copie complète, à : - Me Michaël Stauffacher, avocat (pour H.________),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