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573 vom 8. November 2013</w:t>
      </w:r>
    </w:p>
    <w:p>
      <w:r>
        <w:t>VD Tribunal cantonal, 2013-11-08, FR</w:t>
      </w:r>
    </w:p>
    <w:p>
      <w:r>
        <w:rPr>
          <w:b/>
        </w:rPr>
        <w:t xml:space="preserve">Quelle: </w:t>
      </w:r>
      <w:r>
        <w:t>https://mcp.opencaselaw.ch/entscheid/vd_findinfo_D_cision___2014___573</w:t>
      </w:r>
    </w:p>
    <w:p>
      <w:r>
        <w:t>FR: VD_FINDINFO Décision / 2014 / 573 du 8 novembre 2013</w:t>
      </w:r>
    </w:p>
    <w:p>
      <w:r>
        <w:t>IT: VD_FINDINFO Décision / 2014 / 573 del 8 novembre 2013</w:t>
      </w:r>
    </w:p>
    <w:p>
      <w:pPr>
        <w:pStyle w:val="Heading2"/>
      </w:pPr>
      <w:r>
        <w:t>Regeste</w:t>
      </w:r>
    </w:p>
    <w:p>
      <w:r>
        <w:t>LIBÉRATION CONDITIONNELLE | 86 al. 1 CP, 86 CP, 26 al. 1 let. a LEP, 38 al. 1 LEP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Il satisfait en outre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le premier juge l'a excédé ou en a abusé, notamment lorsqu'elle a omis de tenir compte de critères pertinents et s'est fondée exclusivement sur les antécédents du condamné (TF 6B_900/2010 du 20 décembre 2010 c. 1; ATF 133 IV 201 c. 2.3). b)               En l'espèce, le dossier, complet, permet de statuer en l’état. Le recourant est susceptible de bénéficier de la libération conditionnelle depuis le 10 mai 2014, date à laquelle il a purgé les deux tiers de ses dernières peines à exécuter, le terme initialement fixé au 6 juin 2014 ayant été avancé par l’effet du paiement de jours-amende. Le comportement du condamné en détention doit être qualifié d’adéquat.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revanche, les antécédents du condamné doivent être tenus pour particulièrement lourds. En effet, cinq condamnations, dont certaines à raison d’infractions graves, notamment celle de brigandage à trois reprises, ont été prononcées à son égard avant les jugements des 7 novembre 2012 et 8 novembre 2013 ici en cause. Cela étant, il est vrai que le traitement ambulatoire (portant sur les addictions) ordonné par le jugement du 8 novembre 2013 peut être poursuivi après la libération conditionnelle (art. 63 al. 4 CP). De même, l’abstinence à l’alcool dont fait preuve le condamné depuis plusieurs mois à présent à la faveur d’un traitement ambulatoire dispensé en milieu carcéral est de nature à réduire le risque de réitération à dires d’experts; il est toutefois difficile de prédire le succès de cette prise en charge hors du milieu carcéral. Le syndrome de dépendance du recourant n’est toutefois pas la principale question déterminante pour l’issue du litige. Le critère essentiel, quant au risque de réitération de nouveaux crimes ou de nouveaux délits, est bien plutôt constitué par l’attitude du condamné à l’égard de son passé judiciaire et quant à son avenir en liberté. En effet, le comportement du condamné est marqué par une importante propension à la réitération, qui plus est, comme déjà relevé, pour des infractions parfois graves. Cette attitude est d’autant plus inquiétante qu’il présente, à dires d’experts, une forte irritabilité, une impulsivité, une faible tolérance à la frustration et une difficulté à respecter les règles et autrui. Il s’ensuit, toujours selon les experts, qu’il est susceptible de commettre de nouvelles infractions. Aucun avis psychiatrique ultérieur, notamment pas celui du 9 mai 2014, n’infirme cette appréciation. Quant aux prétendus regrets du condamné, il convient de relever que, lors de son audition par le Juge d’application des peines du 22 novembre 2010 déjà (P. 5), l’intéressé avait dit assumer les conséquences de ses actes et affirmé qu’il avait changé, ce qui le mettait, selon lui, à l’abri de la tentation de la réitération. Il n’a pourtant pas hésité à commettre de nouvelles infractions graves à plusieurs reprises par la suite, ainsi les 10 juillet, 25 septembre, 12, 19, 20, 26 octobre et 13 novembre 2012 (jugement, c. 5, p. 9 in fine), trahissant ce faisant la confiance qui avait été placée en lui. Ainsi, comme le relève l’OEP, seules les périodes de détention ont permis de mettre fin à l’activité délictueuse du recourant. De plus, la dangerosité du recourant ne pourrait, s’il venait à être libéré avant terme, qu’être accrue par le désoeuvrement dû à l’absence de tout projet professionnel. Il s’agit donc d’un délinquant aguerri, peu maître de ses pulsions agressives, qui fait preuve d’une énergie criminelle considérable et qui reste peu sensible à la répression pénale. Or cette propension à la criminalité, manifeste depuis des années, est dans une large mesure indépendante du syndrome de dépendance présenté par le condamné. Elle découle essentiellement de son trouble de la personnalité (non pathologique), dont il n’est guère conscient. Cette attitude est confortée par le rapport établi le 21 février 2014 par la direction de la Prison de La Tuilière, qui relève que le détenu rechigne souvent à prendre en compte les informations qui lui sont transmises, alors même qu’il est devenu abstinent. Ses regrets doivent donc être considérés comme des propos de circonstances, dictés par le seul dessein de bénéficier de la libération conditionnelle. Quant aux témoins entendus par le premier juge, il s’agit de proches parents du recourant. Dans ces conditions, le solde des peines devant encore être purgé (un peu plus de six mois) est trop bref pour être dissuasif. Il y a dès lors lieu de craindre que le condamné, une fois libéré, commette de nouveaux crimes ou de nouveaux délits. La dernière condition légale cumulative posée à la libération conditionnelle n’est donc pas réalisée.</w:t>
      </w:r>
    </w:p>
    <w:p>
      <w:r>
        <w:rPr>
          <w:b/>
        </w:rPr>
        <w:t>E. 3</w:t>
      </w:r>
    </w:p>
    <w:p>
      <w:r>
        <w:t>Il résulte de ce qui précède que le recours doit être rejeté et l’ordonnance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du 4 juin 2014 est confirmée. III. L'indemnité allouée au défenseur d'office de K.________ est fixée à 972 fr. (neuf cent septante-deux francs). IV. Les frais du présent arrêt, par 990 fr. (neuf cent nonante francs), ainsi que l’indemnité due au défenseur d’office du recourant selon le chiffre III ci-dessus, sont mis à la charge de K.________.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 François Gillard, avocat (pour K.________), - Ministère public central, et communiqué à : ‑ M. le Juge d'application des peines, - M. le Procureur du Ministère public de l’arrondissement de Lausanne, - M. le Surveillant-chef, Prison de La Tuilière, - SPOP, Secteur étrangers (21.02.1985),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