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 vom 22. Januar 2014</w:t>
      </w:r>
    </w:p>
    <w:p>
      <w:r>
        <w:t>VD Tribunal cantonal, 2014-01-22, FR</w:t>
      </w:r>
    </w:p>
    <w:p>
      <w:r>
        <w:rPr>
          <w:b/>
        </w:rPr>
        <w:t xml:space="preserve">Quelle: </w:t>
      </w:r>
      <w:r>
        <w:t>https://mcp.opencaselaw.ch/entscheid/vd_findinfo_D_cision___2014___57</w:t>
      </w:r>
    </w:p>
    <w:p>
      <w:r>
        <w:t>FR: VD_FINDINFO Décision / 2014 / 57 du 22 janvier 2014</w:t>
      </w:r>
    </w:p>
    <w:p>
      <w:r>
        <w:t>IT: VD_FINDINFO Décision / 2014 / 57 del 22 gennaio 2014</w:t>
      </w:r>
    </w:p>
    <w:p>
      <w:pPr>
        <w:pStyle w:val="Heading2"/>
      </w:pPr>
      <w:r>
        <w:t>Regeste</w:t>
      </w:r>
    </w:p>
    <w:p>
      <w:r>
        <w:t>DÉTENTION PRÉVENTIVE, RÉGIME DE LA DÉTENTION, RISQUE DE COLLUSION, RISQUE DE FUITE, SOUPÇON | 3 CEDH, 221 al. 1 let. a CPP (CH), 221 al. 1 let. b CPP (CH), 221 CPP (CH), 234 al. 1 CPP (CH), 235 CPP (CH), 393 al. 1 let. a CPP (CH), 393 al. 1 let. c CPP (CH), 27 LVCPP</w:t>
      </w:r>
    </w:p>
    <w:p>
      <w:pPr>
        <w:pStyle w:val="Heading2"/>
      </w:pPr>
      <w:r>
        <w:t>Erwägungen</w:t>
      </w:r>
    </w:p>
    <w:p>
      <w:r>
        <w:rPr>
          <w:b/>
        </w:rPr>
        <w:t>E. 3</w:t>
      </w:r>
    </w:p>
    <w:p>
      <w:r>
        <w:t>Le recourant conteste l’existence d’un risque de fuite (art. 221 al. 1 let. a CPP).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 b) En l’espèce, M.________, ressortissant portugais, était de passage en Suisse lors des faits. Il séjourne régulièrement dans ce pays, à savoir à raison de plusieurs mois par an, pour y travailler et rendre visite à ses enfants qui vivent avec leur mère. Lors de ces séjours, il n’a pas de domicile fixe et loge chez son employeur. Dans ces circonstances, au vu des charges qui pèsent sur lui et de la peine susceptible d’être prononcée à son encontre, il y a sérieusement lieu de craindre que l’intéressé ne tente de se soustraire aux opérations d’enquête en prenant la fuite. Compte tenu de ce qui précède, le fait qu’il ait donné suite à une convocation de la justice dans le cadre d’une autre procédure pénale n’est pas suffisant pour garantir sa présence. Par ailleurs, aucune mesure de substitution n’est propre à prévenir le risque de fuite.</w:t>
      </w:r>
    </w:p>
    <w:p>
      <w:r>
        <w:rPr>
          <w:b/>
        </w:rPr>
        <w:t>E. 4</w:t>
      </w:r>
    </w:p>
    <w:p>
      <w:r>
        <w:t>Le recourant conteste l’existence d’un risque de collusion (art. 221 al. 1 let. b CPP). a)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b) En l’espèce, il est vrai qu’en date du 15 janvier 2014, la police a procédé à l’audition de trois témoins, à savoir l’amie, le compagnon et le fils aîné de la plaignante. Cependant, le Ministère public a indiqué que plusieurs mesures d’enquête devaient encore être menées. Par ailleurs, il ressort du dossier que le recourant aurait adopté un comportement inquiétant à l’égard de la victime et de ses proches, en particulier qu’il les aurait menacés à diverses occasions. Dans ces conditions, il est fort à craindre que ce dernier exerce des pressions sur ces personnes et tente de les influencer. A ce stade de l’enquête, qui n’en est qu’à ses débuts, le résultat des investigations pourrait donc être compromis si le prévenu venait à être remis en liberté. Au vu de ce qui précède, le risque de collusion s'oppose également à la levée de la détention provisoire du recourant et aucune mesure de substitution n’est susceptible de parer à ce risque.</w:t>
      </w:r>
    </w:p>
    <w:p>
      <w:r>
        <w:rPr>
          <w:b/>
        </w:rPr>
        <w:t>E. 5</w:t>
      </w:r>
    </w:p>
    <w:p>
      <w:r>
        <w:t>a) Selon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M.________ est détenu depuis le 9 janvier 2014, soit depuis une dizaine de jours. Compte tenu des infractions qui lui sont reprochées, le recourant s'expose à une peine d’une durée manifestement supérieure à celle de la détention provisoire subie à ce jour. La détention provisoire ordonnée par le premier juge respecte donc le principe de proportionnalité.</w:t>
      </w:r>
    </w:p>
    <w:p>
      <w:r>
        <w:rPr>
          <w:b/>
        </w:rPr>
        <w:t>E. 6</w:t>
      </w:r>
    </w:p>
    <w:p>
      <w:r>
        <w:t>Le recourant soutient qu’à l’échéance du délai légal de 48 heures, ses conditions de détention provisoire dans la zone carcérale de la police violeraient les dispositions conventionnelles, légales et réglementaires en la matière. Il allègue notamment que sa cellule serait exiguë, sans fenêtre donnant sur l’extérieur et sans lumière directe du jour, que les conditions d’hygiène laisseraient à désirer et qu’il ne disposerait pas d’un lieu de promenade adéquat. Il requiert le constat de ces irrégularités. a) L'art. 3 CEDH (Convention du 4 novembre 1950 de sauvegarde des droits de l’homme et des libertés fondamentales; RS 0.101), qui interdit, comme d'autres dispositions constitutionnelles ou conventionnelles, la torture et les peines ou traitements dégradants, impose notamment des standards minimaux en matière de détention, concrétisés par les Règles pénitentiaires européennes adoptées par le Comité des Ministres du Conseil de l'Europe.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(Loi vaudoise d'introduction du Code de procédure pénale du 19 mai 2009; RSV 312.01)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(al. 2). Les art. 10 ss LEDJ (Loi sur l’exécution de la détention avant jugement; RSV 312.07)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(ATF 139 IV 41 c. 3.2). Selon la jurisprudence du Tribunal fédéral, des irrégularités entachant la procédure de détention provisoire, notamment des irrégularités durant la procédure de placement ou de prolongation de la détention, n'entraînent pas la mise en liberté immédiate du prévenu, dans la mesure où les conditions de mise en détention provisoire sont par ailleurs réunies (ATF 139 IV 41 c. 2.2). En revanche,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139 IV 41 c. 3.1 et les arrêts cités). b) En l'espèce, au moment du prononcé de l’ordonnance de détention provisoire, le délai légal de 48 heures arrivait à échéance, de sorte que les éventuelles irrégularités découlant de cette détention n’ont été invoquées pour la première fois par M.________ que dans son recours du 13 janvier 2014. Aussi le Tribunal des mesures de contrainte ne pouvait-il pas les constater dans son ordonnance du 11 janvier 2014. Toutefois, le prévenu, qui est encore détenu à ce jour dans les locaux de la police (cf. PV des opérations), rend à tout le moins crédible l'existence d'une violation des dispositions conventionnelles, légales et réglementaires précitées relatives aux conditions de la détention provisoire. Conformément à la jurisprudence (JT 2013 III 86), il y a lieu de constater que le Tribunal des mesures de contrainte est le mieux à même d'examiner les griefs invoqués par le recourant et de déterminer s’il y a eu en l’espèce violation des art. 3 CEDH et 27 LVCPP. Le dossier de la cause doit donc lui être retourné pour qu’il procède à cet examen et constate, le cas échéant, les irrégularités dénoncées par l'intéressé.</w:t>
      </w:r>
    </w:p>
    <w:p>
      <w:r>
        <w:rPr>
          <w:b/>
        </w:rPr>
        <w:t>E. 7</w:t>
      </w:r>
    </w:p>
    <w:p>
      <w:r>
        <w:t>En définitive, le recours doit être partiellement admis et l'ordonnance du 11 janvier 2014 maintenue en tant qu'elle ordonne la détention provisoire de M.________ jusqu'au 9 février 2014 au plus tard. Pour le surplus, le dossier de la cause sera renvoyé au Tribunal des mesures de contrainte pour qu'il procède dans le sens des considérants. Vu l’issue du recours, les frais de la procédure de recours, constitués en l’espèce de l’émolument d'arrêt, par 1’100 fr. (art. 20 al. 1 TFJP [Tarif des frais judiciaires pénaux du 28 septembre 2010; RSV 312.03.1]), et des frais imputables à la défense d’office (art. 422 al. 1 et al. 2 let. a CPP), fixés à 630 fr., plus la TVA, par 50 fr. 40, soit 680 fr. 40, seront mis pour moitié à la charge du recourant, le solde étant laissé à la charge de l'Etat (art. 423 al. 1 CPP). Le remboursement à l’Etat de la moitié de l'indemnité allouée au défenseur d’office de M.________ ne sera toutefois exigible que pour autant que la situation économique de ce dernier se soit améliorée (art. 135 al. 4 CPP). Par ces motifs, la Chambre des recours pénale, statuant à huis clos, prononce : I. Le recours est partiellement admis. II. L’ordonnance du 11 janvier 2014 est maintenue en tant qu’elle ordonne la détention provisoire de M.________ jusqu’au 9 février 2014 au plus tard; pour le surplus, le dossier de la cause est renvoyé au Tribunal des mesures de contrainte pour qu'il procède dans le sens des considérants. III. L'indemnité allouée au défenseur d'office de M.________ est fixée à 680 fr. 40 (six cent huitante francs et quarante centimes). IV. Les frais d’arrêt, par 1’100 fr. (mille cent francs), ainsi que l’indemnité due au défenseur d’office du recourant, par 680 fr. 40 (six cent huitante francs et quarante centimes), sont mis pour moitié à la charge de M.________ et pour moitié à la charge de l’Etat. V. Le remboursement à l’Etat de la moitié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Raphaël Brochellaz, avocat (pour M.________), - Ministère public central, et communiqué à :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