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568 vom 16. Juni 2014</w:t>
      </w:r>
    </w:p>
    <w:p>
      <w:r>
        <w:t>VD Tribunal cantonal, 2014-06-16, FR</w:t>
      </w:r>
    </w:p>
    <w:p>
      <w:r>
        <w:rPr>
          <w:b/>
        </w:rPr>
        <w:t xml:space="preserve">Quelle: </w:t>
      </w:r>
      <w:r>
        <w:t>https://mcp.opencaselaw.ch/entscheid/vd_findinfo_D_cision___2014___568</w:t>
      </w:r>
    </w:p>
    <w:p>
      <w:r>
        <w:t>FR: VD_FINDINFO Décision / 2014 / 568 du 16 juin 2014</w:t>
      </w:r>
    </w:p>
    <w:p>
      <w:r>
        <w:t>IT: VD_FINDINFO Décision / 2014 / 568 del 16 giugno 2014</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A l'appui de son ordonnance, le ministère public a retenu que l'affaire ne constituait pas un cas de défense obligatoire au sens de l'art. 130 CPP. Par ailleurs, les faits de la cause n'étaient compliqués ni en fait ni en droit, de sorte que l'affaire ne présentait pas de difficultés que le recourant ne pourrait surmonter seul. Il s'agissait de plus de faits de peu de gravité au regard de la peine susceptible d'être prononcée.</w:t>
      </w:r>
    </w:p>
    <w:p>
      <w:r>
        <w:rPr>
          <w:b/>
        </w:rPr>
        <w:t>E. 2.1</w:t>
      </w:r>
    </w:p>
    <w:p>
      <w:r>
        <w:t>En dehors des cas de défense obligatoire, dont les hypothèses ne sont pas réalisées en l'espèce,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p. 105).</w:t>
      </w:r>
    </w:p>
    <w:p>
      <w:r>
        <w:rPr>
          <w:b/>
        </w:rPr>
        <w:t>E. 2.2</w:t>
      </w:r>
    </w:p>
    <w:p>
      <w:r>
        <w:t>En l'espèce, les faits reprochés au recourant sont simples et ce dernier doit être en mesure de se déterminer sur ceux-ci sans l'aide d'un avocat. S'agissant de la qualification juridique du comportement reproché au recourant, la distinction entre escroquerie et contravention à la LASV fait l'objet d'une jurisprudence bien connue (cf. p. ex. TF 6B_22/2011 du 23 mai 2011, spéc. c. 2.1; CAPE 31 mai 2013/124 c. 3.1, arrêts qui sont accessibles sur Internet), de sorte que la cause ne présente pas de difficultés particulières en droit. Le recourant ne rend pas vraisemblable que la cause comporterait des spécificités qui justifieraient qu'il soit aidé par un avocat. A ce titre, les éléments qu'il a évoqués dans son acte de recours ont trait soit à des démêlés avec le Bureau de recouvrement et d'avances de pensions alimentaires (BRAPA), soit à la problématique du recouvrement du montant indûment perçu, qui fait l'objet d'une décision définitive et exécutoire. Or ces deux questions n'ont pas de rapport direct avec la procédure pénale en cause, si bien qu'elles ne sauraient justifier la désignation d'un défenseur d'office. Enfin, la peine à laquelle s'expose le recourant est inférieure à celle visée à l'art. 132 al. 3 CPP. Il n'y a dès lors pas matière à défense d'office.</w:t>
      </w:r>
    </w:p>
    <w:p>
      <w:r>
        <w:rPr>
          <w:b/>
        </w:rPr>
        <w:t>E. 3</w:t>
      </w:r>
    </w:p>
    <w:p>
      <w:r>
        <w:t>Au vu de ce qui précède, le recours doit être rejeté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3 juin 2014 est confirmée. III. Les frais d’arrêt, par 440 fr. (quatre cent quarante francs), sont mis à la charge de R.________. IV. Le présent arrêt est exécutoire. Le président :               Le greffier : Du L'arrêt qui précède, dont la rédaction a été approuvée à huis clos, est notifié, par l'envoi d'une copie complète, à : - M.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