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567 vom 3. April 2014</w:t>
      </w:r>
    </w:p>
    <w:p>
      <w:r>
        <w:t>VD Tribunal cantonal, 2014-04-03, FR</w:t>
      </w:r>
    </w:p>
    <w:p>
      <w:r>
        <w:rPr>
          <w:b/>
        </w:rPr>
        <w:t xml:space="preserve">Quelle: </w:t>
      </w:r>
      <w:r>
        <w:t>https://mcp.opencaselaw.ch/entscheid/vd_findinfo_D_cision___2014___567</w:t>
      </w:r>
    </w:p>
    <w:p>
      <w:r>
        <w:t>FR: VD_FINDINFO Décision / 2014 / 567 du 3 avril 2014</w:t>
      </w:r>
    </w:p>
    <w:p>
      <w:r>
        <w:t>IT: VD_FINDINFO Décision / 2014 / 567 del 3 aprile 2014</w:t>
      </w:r>
    </w:p>
    <w:p>
      <w:pPr>
        <w:pStyle w:val="Heading2"/>
      </w:pPr>
      <w:r>
        <w:t>Regeste</w:t>
      </w:r>
    </w:p>
    <w:p>
      <w:r>
        <w:t>DIFFAMATION, PREUVE LIBÉRATOIRE, CLASSEMENT DE LA PROCÉDURE | 173 ch. 1 CP, 173 ch. 2 CP, 319 al. 1 CPP (CH)</w:t>
      </w:r>
    </w:p>
    <w:p>
      <w:pPr>
        <w:pStyle w:val="Heading2"/>
      </w:pPr>
      <w:r>
        <w:t>Erwägungen</w:t>
      </w:r>
    </w:p>
    <w:p>
      <w:r>
        <w:rPr>
          <w:b/>
        </w:rPr>
        <w:t>E. 1</w:t>
      </w:r>
    </w:p>
    <w:p>
      <w:r>
        <w:t>let. a CPP) et dans les formes prescrites (art. 385 al. 1 CPP), le recours est dans cette mesure recevable.</w:t>
      </w:r>
    </w:p>
    <w:p>
      <w:r>
        <w:rPr>
          <w:b/>
        </w:rPr>
        <w:t>E. 2</w:t>
      </w:r>
    </w:p>
    <w:p>
      <w:r>
        <w:t>Le recourant soutient notamment que si M.________ a réellement rapporté à A.F.________ les propos selon lesquels il aurait violenté son amie, il incombait au procureur d’ouvrir une instruction pour violation du secret professionnel au sens de l’art. 320 CP. En l’espèce, le recourant n’a pas déposé de plainte pénale en raison de ces faits. Il n’a donc pas la qualité de partie plaignante à cet égard ni, par conséquent, la qualité pour recourir sur ce point (art. 382 al. 1 CPP). Le recours est dès lors irrecevable quant à ce grief.</w:t>
      </w:r>
    </w:p>
    <w:p>
      <w:r>
        <w:rPr>
          <w:b/>
        </w:rPr>
        <w:t>E. 3.1</w:t>
      </w:r>
    </w:p>
    <w:p>
      <w:r>
        <w:t>Aux termes de l'art. 319 al. 1 let. b CPP, le Ministère public ordonne le classement de tout ou partie de la procédure lorsque les éléments constitutifs d’une infraction ne sont pas réunis,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Bâle 2011,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3.2</w:t>
      </w:r>
    </w:p>
    <w:p>
      <w:r>
        <w:t>Le recourant se plaint du rejet de sa réquisition tendant à l’audition de son père et de M.________ du Service social de Lausanne. Il expose également que son père n’aurait pas rapporté la preuve libératoire de sa bonne foi au sens de l’art. 173 ch. 2 CP, car il ne connaissait absolument pas M.________ et il ne pouvait donc pas « évaluer le crédit de cette personne ».</w:t>
      </w:r>
    </w:p>
    <w:p>
      <w:r>
        <w:rPr>
          <w:b/>
        </w:rPr>
        <w:t>E. 3.2.1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173 ch. 2 CP, le prévenu n’encourra aucune peine s’il prouve que les allégations qu’il a articulées ou propagées sont conformes à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Les infractions en droit suisse, vol. I, Berne 2010, n. 54 ad. art. 173 CP).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Si l’allégation concerne la commission d’un comportement punissable, le preuve de la vérité ne peut se faire qu’en produisant un jugement de condamnation de la personne visée (Dupuis et alii, Petit commentaire du Code pénal, Bâle 2012, n. 32 ad art. 173 CP).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n. 76 ad art. 173 CP).</w:t>
      </w:r>
    </w:p>
    <w:p>
      <w:r>
        <w:rPr>
          <w:b/>
        </w:rPr>
        <w:t>E. 3.2.2</w:t>
      </w:r>
    </w:p>
    <w:p>
      <w:r>
        <w:t>En l’espèce, il y a lieu de retenir, pour les motifs exposés par le procureur, qu’il est patent que A.F.________, père de B.F.________, avait des raisons sérieuses de tenir de bonne foi ses allégations pour vraies. En effet, il ressort du dossier d’instruction que l’ex-amie du recourant a déposé deux plaintes contre lui pour violences verbales et qu’elle lui avait demandé de quitter son domicile (PE11.022041-ADY). L’instruction a également permis d’établir que A.F.________ avait obtenu ses allégations par un entretien téléphonique avec M.________, chef de bureau du Service social de Lausanne. Sachant que son fils bénéficiait de l’aide sociale, la démarche de A.F.________ de contacter ce service s'explique du fait qu’il souhaitait trouver une solution pour loger son fils afin que celui-ci ne dorme pas dans la rue. Ainsi, lorsque le chef du bureau du service social l’a informé que B.F.________ avait violenté son amie, A.F.________ était légitimée à penser de bonne foi que ces allégations étaient vraies, son interlocuteur étant un représentant de l’administration en charge d’aider son fils à se prendre en charge. Ainsi, A.F.________ n’a nullement agi pour dire du mal de son fils. Au vu de ce qui précède, l’audition de M.________ n’était donc pas nécessaire, la preuve libératoire au sens de  l’art. 173 ch. 2 CP ayant été rapportée et le motif de classement selon l’art. 319 al. 1 let. b CPP étant justifié.</w:t>
      </w:r>
    </w:p>
    <w:p>
      <w:r>
        <w:rPr>
          <w:b/>
        </w:rPr>
        <w:t>E. 4</w:t>
      </w:r>
    </w:p>
    <w:p>
      <w:r>
        <w:t>En définitive, manifestement mal fondé, le recours doit être rejeté sans autres échanges d’écritures (art. 390 al. 2 CPP) et l’ordonnance du 20 février 2014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de classement du 20 février 2014 du Ministère public de l’arrondissement de Lausanne est confirmée. III. Les frais de la procédure, par 770 fr. (sept cent septante  francs), sont mis à la charge de B.F.________. IV. Le présent arrêt est exécutoire. Le président :               La greffière : Du L'arrêt qui précède, dont la rédaction a été approuvée à huis clos, est notifié, par l'envoi d'une copie complète, à : - B.F.________, - A.F.________,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