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565 vom 29. April 2014</w:t>
      </w:r>
    </w:p>
    <w:p>
      <w:r>
        <w:t>VD Tribunal cantonal, 2014-04-29, FR</w:t>
      </w:r>
    </w:p>
    <w:p>
      <w:r>
        <w:rPr>
          <w:b/>
        </w:rPr>
        <w:t xml:space="preserve">Quelle: </w:t>
      </w:r>
      <w:r>
        <w:t>https://mcp.opencaselaw.ch/entscheid/vd_findinfo_D_cision___2014___565</w:t>
      </w:r>
    </w:p>
    <w:p>
      <w:r>
        <w:t>FR: VD_FINDINFO Décision / 2014 / 565 du 29 avril 2014</w:t>
      </w:r>
    </w:p>
    <w:p>
      <w:r>
        <w:t>IT: VD_FINDINFO Décision / 2014 / 565 del 29 aprile 2014</w:t>
      </w:r>
    </w:p>
    <w:p>
      <w:pPr>
        <w:pStyle w:val="Heading2"/>
      </w:pPr>
      <w:r>
        <w:t>Regeste</w:t>
      </w:r>
    </w:p>
    <w:p>
      <w:r>
        <w:t>NON-LIEU | 115 CP, 181 CP, 1 al. 1 LDA, 310 CPP (CH), 322 al. 2 CPP (CH), 385 CPP (CH), 390 al. 1 CPP (CH), 393 al. 1 let. a CPP (CH)</w:t>
      </w:r>
    </w:p>
    <w:p>
      <w:pPr>
        <w:pStyle w:val="Heading2"/>
      </w:pPr>
      <w:r>
        <w:t>Erwägungen</w:t>
      </w:r>
    </w:p>
    <w:p>
      <w:r>
        <w:rPr>
          <w:b/>
        </w:rPr>
        <w:t>E. 1</w:t>
      </w:r>
    </w:p>
    <w:p>
      <w:r>
        <w:t>Interjeté dans le délai légal (art. 322 al. 2 CPP par renvoi de l'art. 310 al.</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En l'espèce, si la volonté de recourir est incontestable, le recours de Q.________ ne soulève pas de grief spécifique et précis en lien avec l'argumentation du procureur pour les cas dénoncés, mais se borne à reprendre les éléments de sa plainte. Il se justifie néanmoins d'examiner les différents cas dénoncés. a) Dans le premier cas, Q.________ reproche à la Police et à la Ville de Lausanne d'avoir violé son droit d'auteur et abusé de leur pouvoir en volant certaines idées de son projet personnel de management de la Police de Lausanne. Comme le relève l'ordonnance attaquée, la LDA (Loi fédérale sur le droit d'auteur et les droits voisins du 9 octobre 1992; RS 231.1) protège les créations littéraires et artistiques, lesquelles n’englobent manifestement pas le projet personnel de management de Q.________ de sorte que toute condamnation peut, de ce fait, d’emblée être exclue. L'autorité inférieure constate également à juste titre que les éléments constitutifs de l’infraction d’abus d’autorité ne sont pas réalisés, l’art. 312 CP protégeant d’une part, l’intérêt de l’état à disposer de fonctionnaires loyaux qui utilisent les pouvoirs qui leur ont été confiés en ayant conscience de ces devoirs, et, d’autre part, l’intérêt des citoyens à ne pas être exposés à un déploiement d’une puissance étatique incontrôlé et arbitraire. (Dupuis/Geller/Monnier/Moreillon/Piguet/Bettex/Stoll [éd.], Petit commentaire du Code pénal, Bâle 2012, n. 3 ad art. 312). b) Dans le deuxième cas, Q.________ se plaint d’avoir été poussé à la démission ou au suicide, sans toutefois préciser de quelles infractions ces faits seraient constitutifs. Un acte de contrainte (au sens de l'art. 181 CP) peut d'emblée être exclu, dès lors que le plaignant indique, dans le troisième cas, avoir été licencié. Il en va de même de l’infraction d’incitation et assistance au suicide réprimée par l’art. 115 CP, cette infraction ayant pour élément constitutif objectif que le suicide ait été consommé ou, à tout le moins, tenté, faits qui ne sont ni établis, ni même allégués. c) Dans le troisième cas, le plaignant conteste le motif de son licenciement et reproche au juriste de la ville de lui avoir dit qu'il était surveillé. Or, les conflits de travail ne relèvent pas de la compétence du juge pénal. Au surplus, comme le souligne le Parquet, les déclarations du juriste de la ville ne constituent pas une infraction pénale, cet homme de loi étant tout à fait libre de surveiller l’éventuelle publication de messages publics sur Internet dont l’auteur serait Q.________ d) En relation avec le quatrième cas, le Ministère public retient à juste titre que le refus d’une autorité de communiquer une information à un tiers qui n’est pas partie à la procédure ne présente aucun caractère pénal, cette autorité étant tenue par le secret de fonction. e) Le cinquième cas est vidé de son objet, Q.________ ayant lui-même indiqué, le 9 février 2014, avoir reçu une convocation de la Justice de Paix ensuite de la requête de mainlevée de son opposition. f) Dans le sixième cas, Q.________ semble faire grief à Me [...] d’avoir médiatisé son affaire. Cela ne saurait constituer une infraction pénale et, pour peu que son nom et sa photo aient été publiés, ce qui n’est pas établi, Me[...] ne répond pas du contenu éditorial d’un journal. Enfin, les courriers de cette avocate produits par Q.________ ne contiennent aucun propos attentatoire à l'honneur et la résiliation du contrat de travail que l'attitude de Me [...] aurait provoquée n'est pas établie à satisfaction de droit, le recourant n'ayant produit à ce titre qu'une pièce relative à un contrat d’agence. g) Est également vain l'ultime grief de Q.________, qui reproche à la Justice d’avoir utilisé, sans son autorisation, les différents messages qu’il aurait adressés à S.________ et qui ont fondé sa condamnation. Sans revenir ici sur la procédure ayant conduit à la condamnation du recourant, le Ministère public relève à juste titre que la destinataire de ces messages était fondée à les produire comme preuve à l’appui de sa plainte et que l’accord de leur auteur n’était, à cette fin, pas nécessaire. h) En définitive, les faits décrits Q.________ dans sa plainte du 28 janvier 2014 ne laissent apparaître aucun indice sérieux de la commission d’une infraction pénale et l'ordonnance de non-entrée en matière qui constate ce qui précède échappe à la critique.</w:t>
      </w:r>
    </w:p>
    <w:p>
      <w:r>
        <w:rPr>
          <w:b/>
        </w:rPr>
        <w:t>E. 4</w:t>
      </w:r>
    </w:p>
    <w:p>
      <w:r>
        <w:t>Manifestement mal fondé, le recours doit être rejeté sans autre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RSV 312.03.1]), seront donc mis à la charge du recourant, qui succombe (art. 428 al. 1 CPP), sous déduction du montant de 440 fr. déjà versé à titre de sûretés par celui-ci le 12 mars 2014 (art. 7 TFIP). Par ces motifs, la Chambre des recours pénale, statuant à huis clos, prononce : I. Le recours est rejeté. II. L'ordonnance du 21 février 2014 est confirmée. III. Les frais de la procédure de recours, par 990 fr. (neuf cent nonante francs), sont mis à la charge du recourant. IV .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