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557 vom 15. Januar 2014</w:t>
      </w:r>
    </w:p>
    <w:p>
      <w:r>
        <w:t>VD Tribunal cantonal, 2014-01-15, FR</w:t>
      </w:r>
    </w:p>
    <w:p>
      <w:r>
        <w:rPr>
          <w:b/>
        </w:rPr>
        <w:t xml:space="preserve">Quelle: </w:t>
      </w:r>
      <w:r>
        <w:t>https://mcp.opencaselaw.ch/entscheid/vd_findinfo_D_cision___2014___557</w:t>
      </w:r>
    </w:p>
    <w:p>
      <w:r>
        <w:t>FR: VD_FINDINFO Décision / 2014 / 557 du 15 janvier 2014</w:t>
      </w:r>
    </w:p>
    <w:p>
      <w:r>
        <w:t>IT: VD_FINDINFO Décision / 2014 / 557 del 15 gennaio 2014</w:t>
      </w:r>
    </w:p>
    <w:p>
      <w:pPr>
        <w:pStyle w:val="Heading2"/>
      </w:pPr>
      <w:r>
        <w:t>Regeste</w:t>
      </w:r>
    </w:p>
    <w:p>
      <w:r>
        <w:t>TÉMOIN, TÉMOIN À CHARGE, APPRÉCIATION DES PREUVES, LÉSION CORPORELLE | 123 CP, 177 CP, 34 CP, 42 CP, 44 CP, 47 CP, 49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Invoquant une constatation erronée des faits, l’appelante critique tout d’abord le fait que le tribunal ait retenu le témoignage d’T.________. En particulier, elle conteste que le témoin, qui se serait trouvé dans sa voiture en stationnement devant l’entrée principale de l’immeuble au moment des faits, ait pu assister à la scène qui s’est déroulée près des caves. Elle considère donc que l’autorité de première instance ne pouvait pas se fonder sur le témoignage d’T.________ pour admettre les infractions de lésions corporelles simples et d’injure et qu’en l’absence de témoignage fiable confirmant les déclarations de la plaignante, le principe in dubio pro reo aurait dû conduire à son acquittement. A l’appui de cette affirmation, X.________ a produit, à l’audience d’appel, un lot de photographies de l’entrée et du hall de l’immeuble (P. 36).</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S’agissant des faits décrits sous chiffre 2 ci-dessus, la culpabilité de l’appelante doit être retenue sur la base des éléments qui suivent : Tant la lecture du dossier que l’audience d’appel du 26 juin 2014 ont permis de mettre en exergue le climat houleux qui règne entre les parties. A cet égard, on peut d’ailleurs lire ce qui suit dans un rapport d’évaluation du Service de protection de la jeunesse du 30 avril 2013 (P : 11, p. 5) : « Madame [X.________] n’a pas toujours été adroite envers son mari et l’amie de celui-ci (ndlr A.W.________), elle a débordé face aux agissements de ces derniers. Notons toutefois qu’ils ont aussi provoqué et critiqué Madame à plusieurs reprises ». S’agissant en particulier des événements du 5 janvier 2013, les versions de X.________ et d’A.W.________ divergent. X.________ a admis que, le jour des faits, A.W.________ et S.________ s’étaient présentés devant son immeuble pour récupérer des clés de voiture ainsi que des sièges qui se trouvaient dans sa cave et qu’elle avait eu une altercation verbale avec la plaignante. Toutefois, elle a toujours contesté s’en être prise physiquement à la plaignante et l’avoir traitée de « pute » ou de « salope », comme l’a soutenu A.W.________. Plusieurs témoins ont été entendus à l’audience de première instance. T.________ a indiqué être une connaissance d’A.W.________ et avoir assisté à l’altercation entre les deux femmes le 5 janvier 2013 depuis sa voiture, alors qu’elle était parquée sur un parking provisoire proche du bâtiment. Elle a affirmé avoir entendu X.________ insulter A.W.________, puis l’avoir vue la pousser, la gifler et lui arracher les cheveux. Elle a ajouté qu’en s’approchant de la victime pour voir si elle avait besoin d’aide, elle avait pu constater que « des touffes de cheveux tombaient le long de son corps ». Le juge de première instance a également procédé à l’audition de B.W.________, fille d’A.W.________. Celle-ci n’a pas assisté à l’altercation, mais elle a rejoint sa mère à l’Hôpital de Nyon le soir- même. Elle a expliqué que lorsqu’elle avait passé ses doigts dans les cheveux de sa mère, une poignée de ceux-ci lui était restée dans la main. L’appelante soutient qu’il n’est pas possible qu’T.________ ait pu assister à l’altercation depuis sa voiture et que son témoignage doit dès lors être écarté. Certes, il existe un doute sur le lieu exact où s’est déroulée l’altercation. Toutefois, il ressort des différentes dépositions des deux femmes que celles-ci se sont rencontrées quelque part entre le hall d’entrée de l’immeuble et le couloir qui mène aux caves qui se trouvent sur le même étage que le hall, le lieu exact ayant finalement peu d’importance vu ce qui suit. En effet, le soir des faits, en hiver vers 20 heures, il faisait nuit et les protagonistes avaient assurément allumé la lumière du hall. Dès lors, et contrairement à ce que soutient l’appelante, il n’était pas impossible pour le témoin T.________ qui se trouvait dans sa voiture en stationnement devant l’immeuble – soit à quelques mètres de la porte d’entrée selon les photos produites par l’appelante à l’audience d’appel – d’observer ce qui se passait tant dans le hall de l’immeuble que dans le couloir qui mène aux caves. C’est donc à juste titre que l’autorité de première instance a accordé du crédit à ce témoignage. Enfin, la version de l’appelante ne permet pas d’expliquer les lésions dont a souffert la plaignante et qui ont pourtant été constatées par les médecins de l’Hôpital de Nyon, ainsi que parT.________ et B.W.________. Au regard de l’ensemble de ces éléments, l'appréciation du tribunal, qui est fondée sur plusieurs éléments matériels, n'est pas critiquable au point de faire naître un doute concret. Comme on l’a vu, il y a en effet des éléments objectifs suffisants permettant de retenir que l’appelante a bien injurié et agressé physiquement la plaignante. Le moyen tiré d’une appréciation erronée des preuves est donc mal fondé et doit être rejeté.</w:t>
      </w:r>
    </w:p>
    <w:p>
      <w:r>
        <w:rPr>
          <w:b/>
        </w:rPr>
        <w:t>E. 4</w:t>
      </w:r>
    </w:p>
    <w:p>
      <w:r>
        <w:t>Cela étant, il reste à qualifier les actes incriminés.</w:t>
      </w:r>
    </w:p>
    <w:p>
      <w:r>
        <w:rPr>
          <w:b/>
        </w:rPr>
        <w:t>E. 4.1</w:t>
      </w:r>
    </w:p>
    <w:p>
      <w:r>
        <w:t>L’appelante conteste la qualification juridique de lésions corporelles simples, soutenant que le lien de causalité adéquate entre la gifle ou le tirage de cheveux et l’entorse cervicale dont a souffert A.W.________ ne saurait être prouvé et que, tout au plus, les lésions constatées à l’Hôpital de Nyon le jour des faits relèveraient des voies de fait.</w:t>
      </w:r>
    </w:p>
    <w:p>
      <w:r>
        <w:rPr>
          <w:b/>
        </w:rPr>
        <w:t>E. 4.2</w:t>
      </w:r>
    </w:p>
    <w:p>
      <w:r>
        <w:t>On doit qualifier de voies de fait, au sens de l'art. 126 CP, les atteintes physiques, même si elles ne causent aucune douleur, qui excèdent ce qu'il est admis de supporter selon l'usage courant et les habitudes sociales, et qui n'entraînent ni lésions corpo­relles, ni atteinte à la santé; un coup de poing doit ainsi être qualifié de voies de fait pour autant qu'il n'entraîne aucune lésion du corps humain ou de la santé (ATF 119 IV 25 c. 2a; 117 IV 14 c. 2a/bb et cc). Lorsque l'atteinte à l'intégrité corporelle se manifeste par des meurtrissures, écorchures, griffures et contusions provoquées par des coups ou d'autres causes du même genre, la distinction entre les voies de fait et les lésions corporelles simples est délicate (ATF 125 II 265 c. 2e/bb p. 272; 119 IV 25 c. 2a p. 26). Il faut alors tenir compte de l'importance de la douleur provoquée afin de déterminer s'il s'agit de lésions corporelles simples ou de voies de fait (ATF 119 IV 25 c. 2a p. 27; 117 IV 1 c. 4a; 107 IV 40 c. 5c). En tous les cas, un hématome, c'est-à-dire la rupture de vaisseaux sanguins avec épanchement sous-cutané, qui laisse normalement des traces pendant plusieurs jours, doit être qualifié de lésion corporelle simple au sens de l'art. 123 CP, même si une telle lésion du corps humain est superficielle et de peu d'importance (ATF 119 IV 25 c. 2a p. 27).</w:t>
      </w:r>
    </w:p>
    <w:p>
      <w:r>
        <w:rPr>
          <w:b/>
        </w:rPr>
        <w:t>E. 4.3</w:t>
      </w:r>
    </w:p>
    <w:p>
      <w:r>
        <w:t>Il est établi que X.________ a violemment tiré les cheveux d’A.W.________, au point que la victime a perdu des touffes de cheveux. En agissant de la sorte, l’appelante a assurément très brutalement tiré la tête de la plaignante et un tel geste est susceptible de provoquer les lésions décrites dans les rapports médicaux, soit des douleurs au niveau de la colonne et une entorse cervicale assez grave. A cet égard, il n’y a pas lieu de retenir l’argument de l’appelante selon lequel ces lésions préexistaient à l’altercation du 5 janvier 2013, dès lors que le Dr [...] a indiqué dans son dernier rapport qu’il n’avait pas eu connaissance de troubles similaires chez sa patiente avant le 7 janvier 2013. Compte tenu de ce qui précède, les lésions constatées – qui ont engendré une incapacité de travail de quinze jours à 100% puis d’un mois à 50%, ainsi qu’une série de vingt-quatre séances de physiothérapie – sont bien constitutives de lésions corporelles simples au sens de l’art. 123 ch. 1 CP et il est manifeste qu’elles ont été provoquées par le comportement de l’appelante, de sorte que le lien de causalité est réalisé.</w:t>
      </w:r>
    </w:p>
    <w:p>
      <w:r>
        <w:rPr>
          <w:b/>
        </w:rPr>
        <w:t>E. 5</w:t>
      </w:r>
    </w:p>
    <w:p>
      <w:r>
        <w:t>L’appelante ne conteste pas la peine en tant que telle. Examinée d’office, la Cour d’appel conclut que celle-ci a été fixée en application des critères légaux à charge et à décharge et conformément à la culpabilité de X.________. L’octroi du sursis et la durée du délai d’épreuve sont également conformes aux règles légales. La peine et le délai d’épreuve doivent dès lors être confirmés. Enfin, les frais de première instance doivent être mis à la charge de la prévenue condamnée (art. 426 al. 1, 1ère phrase, CPP).</w:t>
      </w:r>
    </w:p>
    <w:p>
      <w:r>
        <w:rPr>
          <w:b/>
        </w:rPr>
        <w:t>E. 6</w:t>
      </w:r>
    </w:p>
    <w:p>
      <w:r>
        <w:t>En définitive, l’appel de X.________ est rejeté et le jugement rendu le 15 janvier 2014 par le Tribunal de police de l'arrondissement de Lausanne est confirmé.</w:t>
      </w:r>
    </w:p>
    <w:p>
      <w:r>
        <w:rPr>
          <w:b/>
        </w:rPr>
        <w:t>E. 6.1</w:t>
      </w:r>
    </w:p>
    <w:p>
      <w:r>
        <w:t>Vu l'issue de l’appel, les frais de la procédure d'appel doivent être mis à la charge de la prévenue, qui succombe entièrement (art. 428 al. 1, 1 re phrase, CPP). Outre l’émolument d’arrêt, par 1’910 fr., les frais d’appel comprennent l’indemnité allouée au défenseur d’office de la prévenue pour les opérations liées à la procédure d'appel (cf. les art. 135 al. 2 et 422 al. 2 let. a CPP; art. 2 al. 2 ch. 1 TFIP [Tarif des frais de procédure et indemnités en matière pénale du 28 septembre 2010; RSV 312.03.1]). L'indemnité allouée au défenseur d'office de l’appelante doit être fixée à 1'155 fr. 60, en tenant compte d'une durée d'activité utile de cinq heures d’avocat breveté – à savoir une heure d’étude du jugement, une heure de conférence avec sa cliente, deux heures de préparation du mémoire et de l’audience et une heure d’audience d’appel – plus les débours par 170 fr., dont 120 fr. au titre de frais de vacation, TVA en sus (art. 135 al. 1 CPP). La prévenue ne sera tenue de rembourser à l’Etat l’indemnité en faveur de son défenseur d’office que lorsque sa situation financière le permettra (art. 135 al. 4 let. a CPP). Il n’y a pas lieu à indemnité au sens de l’art. 429 CPP.</w:t>
      </w:r>
    </w:p>
    <w:p>
      <w:r>
        <w:rPr>
          <w:b/>
        </w:rPr>
        <w:t>E. 6.2</w:t>
      </w:r>
    </w:p>
    <w:p>
      <w:r>
        <w:t>L'art. 433 al. 1 CPP prévoit que la partie plaignante peut demander au prévenu une juste indemnité pour les dépenses obligatoires occasionnées par la procédure, soit lorsqu'elle obtient gain de cause, soit lorsque le prévenu est astreint au paiement des frais conformément à l'art. 426 al. 2 CPP. A.W.________ S'agissant de la quotité de l'indemnité à allouer, l’indemnité visée par l’art. 433 CPP doit correspondre au tarif usuel du barreau applicable dans le canton où la procédure se déroule et englober la totalité des coûts de défense (TF 6B_392/2013 du 4 novembre 2013, c. 2.3). A la suite de l’arrêt du Tribunal fédéral du 4 novembre 2013 (TF 6B_392/2013), le Tribunal cantonal a adopté le 18 février 2014 une modification du tarif des frais judiciaires pénaux (RSV 312.03.1; FAO du 28 février 2014, p. 3), entrée en vigueur le 1 er avril 2014. En l'espèce, le conseil d'office d’A.W.________ a produit aux débats d'appel sa liste des opérations faisant état d’un total de 4 heures, hors temps d’audience (P. 37) à un tarif horaire de 450 fr. de l’heure. Compte tenu de la nature de la cause et de la connaissance du dossier acquise en première instance, le temps consacré à la présente procédure doit être arrêté à 3 heures, audience comprises, à un tarif de 250 fr. de l’heure en application du tarif des frais judiciaires pénaux. Il convient encore d’ajouter 250 fr. de débours et vacation. Partant, c'est un montant de 1’080 fr., TVA et débours compris, qui doit être alloué à A.W.________ à titre d’indemnité de l’art. 433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