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554 vom 26. Juni 2014</w:t>
      </w:r>
    </w:p>
    <w:p>
      <w:r>
        <w:t>VD Tribunal cantonal, 2014-06-26, FR</w:t>
      </w:r>
    </w:p>
    <w:p>
      <w:r>
        <w:rPr>
          <w:b/>
        </w:rPr>
        <w:t xml:space="preserve">Quelle: </w:t>
      </w:r>
      <w:r>
        <w:t>https://mcp.opencaselaw.ch/entscheid/vd_findinfo_D_cision___2014___554</w:t>
      </w:r>
    </w:p>
    <w:p>
      <w:r>
        <w:t>FR: VD_FINDINFO Décision / 2014 / 554 du 26 juin 2014</w:t>
      </w:r>
    </w:p>
    <w:p>
      <w:r>
        <w:t>IT: VD_FINDINFO Décision / 2014 / 554 del 26 giugno 2014</w:t>
      </w:r>
    </w:p>
    <w:p>
      <w:pPr>
        <w:pStyle w:val="Heading2"/>
      </w:pPr>
      <w:r>
        <w:t>Regeste</w:t>
      </w:r>
    </w:p>
    <w:p>
      <w:r>
        <w:t>DÉTENTION PROVISOIRE, MESURE DE SUBSTITUTION À LA DÉTENTION, RISQUE DE RÉCIDIVE, BAGARRE | 221 al. 1 let. c CPP (CH), 227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A juste titre, le recourant ne conteste pas l’existence de soupçons suffisants. En effet, compte tenu des images de vidéosurveillance au dossier, des déclarations des diverses personnes entendues et, en particulier, de celles d’Y.________ lui-même qui a admis avoir porté sept coups de couteau à [...], il existe contre le recourant des présomptions de culpabilité suffisantes. c) Le recourant conteste en revanche l’existence du risque de réitération (art. 221 al. 1 let. c CPP) sur lequel le Tribunal des mesures de contrainte a fondé son ordonnance de prolongation de la détention provisoire.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(ATF 123 I 268 c. 2e p. 271). Autant que possible, l'autorité doit tenter de substituer à la détention toute autre mesure moins incisive propre à atteindre le même résultat (ATF 133 I 270 c. 2.2 p. 276; ATF 123 I 268 c. 2c in fine et 2e et les arrêts cités).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Comme l’a déjà relevé la Chambre des recours pénale dans son arrêt du 2 avril 2014 confirmant la mise en détention provisoire d’Y.________, le recourant n’a pas d’antécédent, mais il a fait l’objet en 2011 d’une procédure pénale pour menaces qui, à la suite d’un retrait de plainte, a été close par une ordonnance de classement. Dans le cadre de la présente affaire, il est soupçonné d’avoir frappé [...] à sept reprises avec un couteau, certains des coups ayant atteint la victime près de ses organes vitaux. Il est également soupçonné d’avoir menacé trois autres personnes avec son arme. Dans son précédent arrêt, la Chambre des recours pénale avait également relevé que le recourant avait cherché la confrontation et qu’il avait continué à se diriger vers la victime, alors même que ses amis tentaient de le retenir et que ce comportement, qui témoignait d’une indéniable violence, suggérait que le recourant était susceptible de perdre toute maîtrise sur lui-même et de ne plus être capable de se contenir. La Cour relevait encore que le fait de sortir le soir armé d’un couteau, « pour dissuader » selon l’expression du recourant (cf. P. 8, p. 8), était grave et révélateur. Ces considérations conservent toute leur pertinence et l’on s’y référera pleinement – conformément à une pratique admise (cf. TF 1B_149/2010 du 1 er juin 2010; ATF 114 Ia 281) – pour retenir que le Tribunal des mesures de contrainte n’a pas abusé de son pouvoir d’appréciation (cf. art. 393 al. 2 let. a CPP) en ordonnant la prolongation de la détention provisoire du prévenu en raison du risque de récidive.</w:t>
      </w:r>
    </w:p>
    <w:p>
      <w:r>
        <w:rPr>
          <w:b/>
        </w:rPr>
        <w:t>E. 3</w:t>
      </w:r>
    </w:p>
    <w:p>
      <w:r>
        <w:t>a) Pour pallier le risque de récidive, le recourant propose diverses mesures de substitution prévues par l'art. 237 CPP. b) 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L'alinéa 3 précise que, pour surveiller l'exécution de ces mesures, le tribunal peut ordonner l'utilisation d'appareils techniques qui peuvent être fixés à la personne sous surveillance. c) En l'occurrence, les mesures proposées par le recourant sont une abstinence contrôlée de toute consommation d’alcool et une assignation à résidence de 19h à 6h. Concernant tout d’abord l’abstinence contrôlée, il ressort des auditions des amis d’Y.________, que, contrairement aux affirmations du recourant, celui-ci n’avait pas bu durant la soirée où se sont déroulés les faits (cf. PV aud. de [...] du 1 er avril 2014, R. 7 et 8 ; PV aud. de [...] du 24 mars 2014, R. 6). Des contrôles d’abstinence n'apparaissent donc pas suffisants pour empêcher le risque de récidive retenu ci-dessus. S’agissant ensuite de l’assignation à résidence entre 19h et 6h, il y a lieu de relever que, à imaginer qu’un tel système puisse être mis en place, il n’est toutefois pas inconcevable que l’intéressé commette un nouveau méfait en dehors de ces plages horaires ou avant l'intervention de la police s’il quitte son domicile en pleine nuit. En définitive, aucune mesure de substitution ne présente en l’état de garanties suffisantes pour pallier le risque de réitération retenu, étant au demeurant précisé que l’on doit se montrer particulièrement exigeant lorsque la sécurité publique est en jeu.</w:t>
      </w:r>
    </w:p>
    <w:p>
      <w:r>
        <w:rPr>
          <w:b/>
        </w:rPr>
        <w:t>E. 4</w:t>
      </w:r>
    </w:p>
    <w:p>
      <w:r>
        <w:t>Enfin, le principe de la proportionnalité des intérêts en présence est respecté. En effet, compte tenu de la gravité des actes qui lui sont reprochés, le recourant est exposé au prononcé d’une peine privative de liberté bien supérieure à la durée de la détention provisoire subie (ATF 133 I 168 c. 4.1; ATF 132 I 21 c. 4.1).</w:t>
      </w:r>
    </w:p>
    <w:p>
      <w:r>
        <w:rPr>
          <w:b/>
        </w:rPr>
        <w:t>E. 5</w:t>
      </w:r>
    </w:p>
    <w:p>
      <w:r>
        <w:t>En définitive, le recours doit être rejeté sans autre échange d’écritures (art. 390 al. 2 CPP) et l'ordonnance du 11 juin 2014 confirmée. Les frais de la procédure de recours, constitués en l’espèce de l’émolument d'arrêt, par 770 fr. (art. 20 al. 1 TFJP [tarif des frais judiciaires pénaux; RSV 312.03.1]), seront mis à la charge du recourant qui succombe (art. 428 al. 1 CPP). Par ces motifs, la Chambre des recours pénale, statuant à huis clos, prononce : I. Le recours est rejeté. II. L’ordonnance du 11 juin 2014 est confirmée. III. Les frais d’arrêt, par 770 fr. (sept cent septante francs), sont mis à la charge du recourant. IV. Le présent arrêt est exécutoire. Le président :               La greffière : Du L'arrêt qui précède, dont la rédaction a été approuvée à huis clos, est notifié, par l'envoi d'une copie complète, à : - M. Dan Bally, avocat (pour Y.________), - Ministère public central, et communiqué à : ‑ M. Julien Gafner, avocat (pour [...]) - Mme la Présidente du Tribunal des mesures de contrainte,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