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546 vom 16. Mai 2014</w:t>
      </w:r>
    </w:p>
    <w:p>
      <w:r>
        <w:t>VD Tribunal cantonal, 2014-05-16, FR</w:t>
      </w:r>
    </w:p>
    <w:p>
      <w:r>
        <w:rPr>
          <w:b/>
        </w:rPr>
        <w:t xml:space="preserve">Quelle: </w:t>
      </w:r>
      <w:r>
        <w:t>https://mcp.opencaselaw.ch/entscheid/vd_findinfo_D_cision___2014___546</w:t>
      </w:r>
    </w:p>
    <w:p>
      <w:r>
        <w:t>FR: VD_FINDINFO Décision / 2014 / 546 du 16 mai 2014</w:t>
      </w:r>
    </w:p>
    <w:p>
      <w:r>
        <w:t>IT: VD_FINDINFO Décision / 2014 / 546 del 16 maggio 2014</w:t>
      </w:r>
    </w:p>
    <w:p>
      <w:pPr>
        <w:pStyle w:val="Heading2"/>
      </w:pPr>
      <w:r>
        <w:t>Regeste</w:t>
      </w:r>
    </w:p>
    <w:p>
      <w:r>
        <w:t>DROIT D'OBTENIR UNE DÉCISION | 29 al. 1 Cst., 393 al. 2 let. a CPP (CH), 396 CPP (CH)</w:t>
      </w:r>
    </w:p>
    <w:p>
      <w:pPr>
        <w:pStyle w:val="Heading2"/>
      </w:pPr>
      <w:r>
        <w:t>Erwägungen</w:t>
      </w:r>
    </w:p>
    <w:p>
      <w:r>
        <w:rPr>
          <w:b/>
        </w:rPr>
        <w:t>E. 1</w:t>
      </w:r>
    </w:p>
    <w:p>
      <w:r>
        <w:t>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auprès de l’autorité compétente et satisfaisant aux conditions de forme posées par l'art. 385 al. 1 CPP, le recours est, dans cette mesure, recevable.</w:t>
      </w:r>
    </w:p>
    <w:p>
      <w:r>
        <w:rPr>
          <w:b/>
        </w:rPr>
        <w:t>E. 2</w:t>
      </w:r>
    </w:p>
    <w:p>
      <w:r>
        <w:t>Le recourant reproche au procureur de ne pas avoir statué sur sa requête de jonction de causes et de ne pas avoir élargi l’instruction dirigée contre B.________ à l’infraction de calomnie.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 b) Le recours pour déni de justice n’est soumis à aucun délai (art. 396 al. 2 CPP). L’autorité de recours doit néanmoins examiner si le recourant dispose encore d’un intérêt juridiquement protégé à agir (Rémy, in : Kuhn/Jeanneret [éd.], Commentaire romand, Code de procédure pénale suisse, Bâle 2011, n. 15 ad art. 396 CPP ; Schmid, Schweizerische Strafprozessordnung, Praxiskommentar, Zürich/Saint-Gall 2013, n. 6 ad art. 396 CPP ; Stéphenson/Thiriet, in : Niggli/Heer/Wiprächtiger [éd.], Basler Kommentar, Schweizerische, Strafprozessordnung, Jugendstrafprozessordnung, Bâle 2011, n. 17 ad art. 396 CPP). c) En l’espèce, on peut certes déplorer que le procureur n’ait pas statué sur la requête formulée par le recourant. Cela étant, la procédure dirigée contre B.________ a été suspendue par ordonnance du Ministère public en date du 31 mars 2014. Cette ordonnance n’a pas été contestée par le recourant de sorte qu’elle est désormais exécutoire. Le Ministère public ne peut dès lors plus ordonner de mesures d’instruction dans cette cause. Ainsi, il apparaît que W.________ ne dispose plus d’un intérêt à ce que la Cour de céans constate un éventuel déni de justice et impartisse au procureur un délai pour statuer sur sa requête de jonction de causes, respectivement pour se prononcer sur l’extension de l’instruction à l’infraction de calomnie.</w:t>
      </w:r>
    </w:p>
    <w:p>
      <w:r>
        <w:rPr>
          <w:b/>
        </w:rPr>
        <w:t>E. 3</w:t>
      </w:r>
    </w:p>
    <w:p>
      <w:r>
        <w:t>Sur le vu de ce qui précède, le recours pour déni de justice de W.________ doit être déclaré irrecevable faute d’intérêt juridiquement protégé à agir. Le recourant demande l’assistance judiciaire dans la présente procédure. Dans la mesure où une telle requête avait déjà été rejetée par ordonnance du Ministère public du 16 avril 2013, contre laquelle l’intéressé n’a pas fait recours, et où le présent recours était dénué de toute chance de succès, la requête d’assistance judiciaire gratuite sera rejetée. Enfin, les frais de la procédure de recours, constitués en l’espèce du seul émolument d’arrêt (art. 422 al. 1 CPP), par 550 fr. (art. 20 al. 1 TFIP [tarif des frais judiciaires de procédure et indemnités en matière pénale; RSV 312.03.1]), seront mis à la charge du recourant, qui succombe (art. 428 al. 1 CPP). Par ces motifs, la Chambre des recours pénale, statuant à huis clos, prononce : I. Le recours est irrecevable. II. La requête tendant à l’assistance judiciaire gratuite pour la présente procédure de recours est rejetée. III. Les frais du présent arrêt, par 550 fr. (cinq cent cinquante francs), sont mis à la charge du recourant. IV. Le présent arrêt est exécutoire. Le président :               La greffière : Du L'arrêt qui précède, dont la rédaction a été approuvée à huis clos, est notifié, par l'envoi d'une copie complète, à : - Me Pascal Nicollier, avocat (pour W.________), - Me Daniel Brodt, avocat (pour B.________),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