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542 vom 24. Juni 2014</w:t>
      </w:r>
    </w:p>
    <w:p>
      <w:r>
        <w:t>VD Tribunal cantonal, 2014-06-24, FR</w:t>
      </w:r>
    </w:p>
    <w:p>
      <w:r>
        <w:rPr>
          <w:b/>
        </w:rPr>
        <w:t xml:space="preserve">Quelle: </w:t>
      </w:r>
      <w:r>
        <w:t>https://mcp.opencaselaw.ch/entscheid/vd_findinfo_D_cision___2014___542</w:t>
      </w:r>
    </w:p>
    <w:p>
      <w:r>
        <w:t>FR: VD_FINDINFO Décision / 2014 / 542 du 24 juin 2014</w:t>
      </w:r>
    </w:p>
    <w:p>
      <w:r>
        <w:t>IT: VD_FINDINFO Décision / 2014 / 542 del 24 giugno 2014</w:t>
      </w:r>
    </w:p>
    <w:p>
      <w:pPr>
        <w:pStyle w:val="Heading2"/>
      </w:pPr>
      <w:r>
        <w:t>Regeste</w:t>
      </w:r>
    </w:p>
    <w:p>
      <w:r>
        <w:t>DÉFENSE D'OFFICE, EFFET SUSPENSIF, ORDONNANCE, PRÉSIDENT | 132 CPP (CH), 387 CPP (CH), 388 CPP (CH)</w:t>
      </w:r>
    </w:p>
    <w:p>
      <w:pPr>
        <w:pStyle w:val="Heading2"/>
      </w:pPr>
      <w:r>
        <w:t>Erwägungen</w:t>
      </w:r>
    </w:p>
    <w:p>
      <w:r>
        <w:rPr>
          <w:b/>
        </w:rPr>
        <w:t>E. 1</w:t>
      </w:r>
    </w:p>
    <w:p>
      <w:r>
        <w:t>a) 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b) Aux termes de l’art. 388 CPP, la direction de la procédure de l’autorité de recours rend les ordonnances et prend les mesures provisionnelles qui s’imposent et qui ne souffrent aucun délai. Elle peut notamment nommer un défenseur d’office (let. c). c) Conformément à l’art. 387 CPP, le recours n’a pas d’effet suspensif. La direction de la procédure de l’autorité de recours peut cependant, d’office ou à la requête du recourant, ordonner l’effet suspensif.</w:t>
      </w:r>
    </w:p>
    <w:p>
      <w:r>
        <w:rPr>
          <w:b/>
        </w:rPr>
        <w:t>E. 2</w:t>
      </w:r>
    </w:p>
    <w:p>
      <w:r>
        <w:t>a) La procédure de recours contre les décisions du juge d’application des peines étant régie par le CPP (cf. c. 1a supra), la requête de L.________ tendant à la désignation d’un défenseur d’office pour la procédure de recours doit être examinée au regard de l’art. 132 CPP. Aux termes de cette disposition, la direction de la procédure ordonne une défense d’office si le prévenu ne dispose pas des moyens nécessaires et si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 ATF 115 Ia 103 c. 4 p. 105). b) En l’espèce, dans la mesure où L.________ a été condamné à une peine privative de liberté de quatre mois, l’affaire peut être qualifiée de peu de gravité. Au surplus, il n’apparaît pas que la cause présente, au stade de l’exécution de peine, sur le plan des faits ou du droit, des difficultés que le prénommé ne pourrait pas surmonter seul. Il s’agit pour l’essentiel de déterminer si celui-ci remplit les conditions d’octroi du régime des arrêts domiciliaires, respectivement de la semi-détention. Quant aux preuves que l’intéressé pourrait avoir à offrir, un certain bon sens doit suffire pour agir utilement. L.________ est donc en mesure d’assurer seul sa défense, d’autant plus qu’il est familier des procédures judiciaires. Dans ces conditions, l'assistance d'un mandataire n’apparaît pas nécessaire, de sorte que la requête de L.________ sur ce point doit être rejetée, sans qu’il y ait besoin d’examiner la condition de l’indigence.</w:t>
      </w:r>
    </w:p>
    <w:p>
      <w:r>
        <w:rPr>
          <w:b/>
        </w:rPr>
        <w:t>E. 3</w:t>
      </w:r>
    </w:p>
    <w:p>
      <w:r>
        <w:t>S’agissant de la requête d’effet suspensif, elle doit également être rejetée, pour autant qu’elle soit recevable dès lors qu’aucun recours n’a encore été déposé. En effet, la Chambre des recours pénale est en mesure de statuer sur un éventuel recours de L.________ avant qu’un nouvel ordre d’exécution de peine ne lui soit adressé par l’OEP, la date précédemment fixée au 21 janvier 2014 en vue de l’exécution de la peine du prénommé étant échue.</w:t>
      </w:r>
    </w:p>
    <w:p>
      <w:r>
        <w:rPr>
          <w:b/>
        </w:rPr>
        <w:t>E. 4</w:t>
      </w:r>
    </w:p>
    <w:p>
      <w:r>
        <w:t>Il résulte de ce qui précède que la requête de désignation d’un défenseur d’office et la requête d’effet suspensif présentées par L.________ doivent être rejetées dans la mesure de leur recevabilité. Les frais de la présente ordonnance, fixés à 450 fr. (art. 20 al. 1 TFJP [tarif des frais judiciaires pénaux; RSV 312.03.1]), suivront le sort des frais de la procédure de recours (art. 421 al. 1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