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536 vom 2. Mai 2014</w:t>
      </w:r>
    </w:p>
    <w:p>
      <w:r>
        <w:t>VD Tribunal cantonal, 2014-05-02, FR</w:t>
      </w:r>
    </w:p>
    <w:p>
      <w:r>
        <w:rPr>
          <w:b/>
        </w:rPr>
        <w:t xml:space="preserve">Quelle: </w:t>
      </w:r>
      <w:r>
        <w:t>https://mcp.opencaselaw.ch/entscheid/vd_findinfo_D_cision___2014___536</w:t>
      </w:r>
    </w:p>
    <w:p>
      <w:r>
        <w:t>FR: VD_FINDINFO Décision / 2014 / 536 du 2 mai 2014</w:t>
      </w:r>
    </w:p>
    <w:p>
      <w:r>
        <w:t>IT: VD_FINDINFO Décision / 2014 / 536 del 2 maggio 2014</w:t>
      </w:r>
    </w:p>
    <w:p>
      <w:pPr>
        <w:pStyle w:val="Heading2"/>
      </w:pPr>
      <w:r>
        <w:t>Regeste</w:t>
      </w:r>
    </w:p>
    <w:p>
      <w:r>
        <w:t>DOSSIER, TITRE{DOCUMENT} | 265 al. 3 CPP (CH)</w:t>
      </w:r>
    </w:p>
    <w:p>
      <w:pPr>
        <w:pStyle w:val="Heading2"/>
      </w:pPr>
      <w:r>
        <w:t>Erwägungen</w:t>
      </w:r>
    </w:p>
    <w:p>
      <w:r>
        <w:rPr>
          <w:b/>
        </w:rPr>
        <w:t>E. 1</w:t>
      </w:r>
    </w:p>
    <w:p>
      <w:r>
        <w:t>L’ordonnance attaquée a été notifiée au recourant, par son conseil, par pli reçu le lundi 5 mai 2014 selon l’allégué crédible de la partie. Interjeté le 15 mai 2014, le recours l’a été dans le délai légal (art. 322 al. 2 et 396 al. 1 CPP) contre une décision du Ministère public (art. 393 al. 1 let. a CPP). Il est donc, dans cette mesure, recevable. Cela étant, la question de sa recevabilité doit être examinée d’office pour le surplus.</w:t>
      </w:r>
    </w:p>
    <w:p>
      <w:r>
        <w:rPr>
          <w:b/>
        </w:rPr>
        <w:t>E. 2</w:t>
      </w:r>
    </w:p>
    <w:p>
      <w:r>
        <w:t>a) Vu son objet et nonobstant son libellé qui pourrait prêter à confusion, l’ordonnance attaquée constitue bien un ordre de dépôt de pièces au sens de l’art. 265 al.</w:t>
      </w:r>
    </w:p>
    <w:p>
      <w:r>
        <w:rPr>
          <w:b/>
        </w:rPr>
        <w:t>E. 3</w:t>
      </w:r>
    </w:p>
    <w:p>
      <w:r>
        <w:t>a) Il résulte de ce qui précède que le recours doit être rejeté dans la mesure de sa recevabilité et l’ordonnance du 2 mai 2014 confirmée. b) Les frais de la procédure de recours, constitués en l’espèce du seul émolument d'arrêt, par 660 fr. (art. 20 al. 1 TFIP [tarif des frais de procédure et indemnités en matière pénale; RSV 312.03.1]), seront mis à la charge du recourant, qui succombe (art. 428 al. 1 CPP). Par ces motifs, la Chambre des recours pénale, statuant à huis clos, prononce : I. Le recours est rejeté dans la mesure de sa recevabilité. II. L’ordonnance du 2 mai 2014 est confirmée. III. Les frais du présent arrêt, par 660 fr. (six cent soixante francs), sont mis à la charge du recourant. IV. Le présent arrêt est exécutoire. Le président :               Le greffier : Du L'arrêt qui précède, dont la rédaction a été approuvée à huis clos, est notifié, par l'envoi d'une copie complète, à : - Me Christian Favre, avocat (pour C.________), - Ministère public central, et communiqué à : - Madame la Procureure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