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531 vom 30. April 2014</w:t>
      </w:r>
    </w:p>
    <w:p>
      <w:r>
        <w:t>VD Tribunal cantonal, 2014-04-30, FR</w:t>
      </w:r>
    </w:p>
    <w:p>
      <w:r>
        <w:rPr>
          <w:b/>
        </w:rPr>
        <w:t xml:space="preserve">Quelle: </w:t>
      </w:r>
      <w:r>
        <w:t>https://mcp.opencaselaw.ch/entscheid/vd_findinfo_D_cision___2014___531</w:t>
      </w:r>
    </w:p>
    <w:p>
      <w:r>
        <w:t>FR: VD_FINDINFO Décision / 2014 / 531 du 30 avril 2014</w:t>
      </w:r>
    </w:p>
    <w:p>
      <w:r>
        <w:t>IT: VD_FINDINFO Décision / 2014 / 531 del 30 aprile 2014</w:t>
      </w:r>
    </w:p>
    <w:p>
      <w:pPr>
        <w:pStyle w:val="Heading2"/>
      </w:pPr>
      <w:r>
        <w:t>Regeste</w:t>
      </w:r>
    </w:p>
    <w:p>
      <w:r>
        <w:t>DÉCISION DE RENVOI, TRIBUNAL FÉDÉRAL, IN DUBIO PRO DURIORE | 107 al. 2 LTF, 68 al. 5 LTF, 319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 CREP 23 avril 2012/197).</w:t>
      </w:r>
    </w:p>
    <w:p>
      <w:r>
        <w:rPr>
          <w:b/>
        </w:rPr>
        <w:t>E. 2</w:t>
      </w:r>
    </w:p>
    <w:p>
      <w:r>
        <w:t>a) Dans son arrêt du 27 mars 2014, le Tribunal fédéral a considéré que le principe « in dubio pro duriore » ne permettait pas d'exclure que les lésions causées à A.________ aient été commises sans que les prévenus puissent se prévaloir d'un droit d'agir comme ils l'avaient fait, notamment sous l'angle de la proportionnalité de leur action, ou d'un état de nécessité ou de légitime défense. Les autorités cantonales ne pouvaient retenir qu'il n'existait aucun soupçon justifiant une mise en accusation (art. 319 al. 1 let. a CPP). En classant, respectivement en confirmant le classement de la procédure, elles avaient donc violé le principe « in dubio pro duriore ». L'arrêt cantonal devait par conséquent être annulé (c. 2.3). b) Les considérations qui précèdent ne sauraient être remises en cause, vu l’autorité de chose jugée attachée à l’arrêt fédéral. Il s’ensuit que le Procureur général est tenu de dresser un acte d’accusation dirigé contre les prévenus.</w:t>
      </w:r>
    </w:p>
    <w:p>
      <w:r>
        <w:rPr>
          <w:b/>
        </w:rPr>
        <w:t>E. 3</w:t>
      </w:r>
    </w:p>
    <w:p>
      <w:r>
        <w:t>Il résulte de ce qui précède que le recours doit être admis, l’ordonnance de classement du 22 janvier 2013 annulée et la cause renvoyée au Ministère public pour qu’il procède dans le sens des considérants. Le recourant obtenant entièrement gain de cause, les frais de la procédure de recours, comprenant l’émolument de l’arrêt du 22 mars 2013, par 1'870 fr., ainsi que l’émolument du présent arrêt, par 550 fr., seront laissés à la charge de l’Etat (art. 423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statuant à huis clos, prononce : I. Le recours est admis. II. L'ordonnance du 22 janvier 2013 est annulée et le dossier de la cause est renvoyé au Procureur général du canton de Vaud pour qu'il procède dans le sens des considérants. III. Les frais de la procédure de recours, par 2’420 fr. (deux mille quatre cent vingt francs), sont laissés à la charge de l’Etat. IV. Le présent arrêt est exécutoire. Le président :               La greffière : Du L'arrêt qui précède, dont la rédaction a été approuvée à huis clos, est notifié, par l'envoi d'une copie complète, à : - M. Cédric Aguet, avocat (pour A.________), - M. Charles Munoz, avocat (pour D.________), - Mme Odile Pelet, avocate (pour S.________), - Mme Antonella Cereghetti Zwahlen, avocate (pour N.________), - Mme Mireille Loroch, avocate (pour L.________), - Mme Coralie Devaud, avocate (pour Q.________), - M. le Procureur général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