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528 vom 6. März 2014</w:t>
      </w:r>
    </w:p>
    <w:p>
      <w:r>
        <w:t>VD Tribunal cantonal, 2014-03-06, FR</w:t>
      </w:r>
    </w:p>
    <w:p>
      <w:r>
        <w:rPr>
          <w:b/>
        </w:rPr>
        <w:t xml:space="preserve">Quelle: </w:t>
      </w:r>
      <w:r>
        <w:t>https://mcp.opencaselaw.ch/entscheid/vd_findinfo_D_cision___2014___528</w:t>
      </w:r>
    </w:p>
    <w:p>
      <w:r>
        <w:t>FR: VD_FINDINFO Décision / 2014 / 528 du 6 mars 2014</w:t>
      </w:r>
    </w:p>
    <w:p>
      <w:r>
        <w:t>IT: VD_FINDINFO Décision / 2014 / 528 del 6 marzo 2014</w:t>
      </w:r>
    </w:p>
    <w:p>
      <w:pPr>
        <w:pStyle w:val="Heading2"/>
      </w:pPr>
      <w:r>
        <w:t>Regeste</w:t>
      </w:r>
    </w:p>
    <w:p>
      <w:r>
        <w:t>DÉTENTION PROVISOIRE, PROLONGATION, RISQUE DE FUITE, RISQUE DE COLLUSION | 221 al. 1 let. a CPP (CH), 221 al. 1 let. b CPP (CH), 227 CPP (CH), 393 al. 1 let. c CPP (CH)</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a)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ou qu’il compromette sérieusement la sécurité d’autrui par des crimes ou des délits graves après avoir déjà commis des infractions du même genre (c).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ATF 137 IV 122 c. 3.2 ). b) La cour de céans a déjà examiné les présomptions de culpabilité dans cette affaire (CREP 20 mars 2014/222 c. 2b) et a considéré que les soupçons étaient fondés non seulement sur les aveux partiels du recourant lui-même, mais également sur plusieurs pièces du dossier, de sorte qu'il existait des indices de culpabilité suffisants, ce que G.________ ne conteste du reste pas.</w:t>
      </w:r>
    </w:p>
    <w:p>
      <w:r>
        <w:rPr>
          <w:b/>
        </w:rPr>
        <w:t>E. 3</w:t>
      </w:r>
    </w:p>
    <w:p>
      <w:r>
        <w:t>Le recourant conteste, en revanche, l’existence d’un risque de fuite. La situation n'ayant pas évolué sur ce point depuis le dernier arrêt de la cour de céans, il peut être renvoyé aux considérants de celui-ci étant donné qu’ils sont toujours d’actualité (CREP 20 mars 2014/146 c. 3b).</w:t>
      </w:r>
    </w:p>
    <w:p>
      <w:r>
        <w:rPr>
          <w:b/>
        </w:rPr>
        <w:t>E. 4</w:t>
      </w:r>
    </w:p>
    <w:p>
      <w:r>
        <w:t>Le recourant invoque également l’absence d’un risque de collusion. a) Selon l’art. 221 al. 1 let. b CPP, le maintien en détention provisoire se justifie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 14 et 15 ad art. 221 CPP; cf. ATF 137 IV 122 c. 6.2 et 6.4) – vise à garantir la constatation exacte et complète des faits. b) En l’espèce, le procureur a indiqué que le fait que le prévenu ait admis avoir transféré des sommes importantes au Togo impliquait des recherches spécifiques pour identifier l’affection de ces fonds. Ainsi, des investigations supplémentaires apparaissent nécessaires et l'on peut craindre que G.________ ne prenne certaines mesures de nature à entraver la manifestation de la vérité s'il était remis en liberté. Le risque de collusion est dès lors concret.</w:t>
      </w:r>
    </w:p>
    <w:p>
      <w:r>
        <w:rPr>
          <w:b/>
        </w:rPr>
        <w:t>E. 5</w:t>
      </w:r>
    </w:p>
    <w:p>
      <w:r>
        <w:t>Enfin, G.________ fait valoir que des mesures de substitution pourraient être prononcées en lieu et place de son maintien en détention provisoire. a) Conformément au principe de la proportionnalité,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b) En l’espèce, on relèvera que les mesures proposées par G.________ tels qu’être assigné à résidence, se présenter régulièrement à un service administratif ou policier, remettre aux autorités son passeport ainsi que tout autre document d’identité ne sont pas aptes à parer au risque de collusion retenu. C’est donc à bon droit que le Tribunal des mesures de contrainte a estimé que le prévenu devait rester en détention.</w:t>
      </w:r>
    </w:p>
    <w:p>
      <w:r>
        <w:rPr>
          <w:b/>
        </w:rPr>
        <w:t>E. 6</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provisoire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Au vu de la gravité des charges qui pèsent sur le recourant, ce dernier s'expose à une peine privative de liberté d’une durée manifestement supérieure à celle de la détention provisoire subie à ce jour.</w:t>
      </w:r>
    </w:p>
    <w:p>
      <w:r>
        <w:rPr>
          <w:b/>
        </w:rPr>
        <w:t>E. 7</w:t>
      </w:r>
    </w:p>
    <w:p>
      <w:r>
        <w:t>En définitive, le recours, manifestement mal fondé, doit être rejeté sans autres échanges d'écritures (art. 390 al. 2 CPP) et l'ordonnance du 4 juin 2014 confirmée. L’indemnité due au défenseur d’office du recourant sera fixée à 630 fr., plus la TVA, par 50 fr. 40, ce qui porte le montant alloué à 680 fr. 40. Les frais de la procédure de recours, soit les frais d’arrêt, par 660 fr. (art. 20 al. 1 TFIP [Tarif des frais de procédure et indemnités en matière pénale du 28 septembre 2010, RSV 312.03.1]), ainsi que les frais imputables à la défense d’office (art. 422 al. 1 et al. 2 let. a CPP), par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4 juin 2014 est confirmée. III. L’indemnité due au défenseur d’office de G.________ est fixée à 680 fr. 40 (six cent huitante francs et quarante centimes). IV. Les frais d’arrêt, par 660 fr. (six cent soixante francs), ainsi que l’indemnité due au défenseur d’office de G.________, par 680 fr. 40 (six cent huitante francs et quarante centimes), sont mis à la charge de ce dernier. V. Le remboursement à l’Etat de l’indemnité allouée au chiffre III ci-dessus sera exigible pour autant que la situation économique de G.________ se soit améliorée. VI. Le présent arrêt est exécutoire. Le président :               La greffière : Du L'arrêt qui précède, dont la rédaction a été approuvée à huis clos, est notifié, par l'envoi d'une copie complète, à : - Me Fabien Hohenauer, avocat (pour G.________), - Ministère public central ;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