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527 vom 6. Juni 2014</w:t>
      </w:r>
    </w:p>
    <w:p>
      <w:r>
        <w:t>VD Tribunal cantonal, 2014-06-06, FR</w:t>
      </w:r>
    </w:p>
    <w:p>
      <w:r>
        <w:rPr>
          <w:b/>
        </w:rPr>
        <w:t xml:space="preserve">Quelle: </w:t>
      </w:r>
      <w:r>
        <w:t>https://mcp.opencaselaw.ch/entscheid/vd_findinfo_D_cision___2014___527</w:t>
      </w:r>
    </w:p>
    <w:p>
      <w:r>
        <w:t>FR: VD_FINDINFO Décision / 2014 / 527 du 6 juin 2014</w:t>
      </w:r>
    </w:p>
    <w:p>
      <w:r>
        <w:t>IT: VD_FINDINFO Décision / 2014 / 527 del 6 giugno 2014</w:t>
      </w:r>
    </w:p>
    <w:p>
      <w:pPr>
        <w:pStyle w:val="Heading2"/>
      </w:pPr>
      <w:r>
        <w:t>Regeste</w:t>
      </w:r>
    </w:p>
    <w:p>
      <w:r>
        <w:t>EXPERTISE PSYCHIATRIQUE, COMPLÉMENT, DÉCISION D'IRRECEVABILITÉ | 387 CPP (CH), 388 CPP (CH), 394 let. b CPP (CH)</w:t>
      </w:r>
    </w:p>
    <w:p>
      <w:pPr>
        <w:pStyle w:val="Heading2"/>
      </w:pPr>
      <w:r>
        <w:t>Erwägungen</w:t>
      </w:r>
    </w:p>
    <w:p>
      <w:r>
        <w:rPr>
          <w:b/>
        </w:rPr>
        <w:t>E. 1</w:t>
      </w:r>
    </w:p>
    <w:p>
      <w:r>
        <w:t>a) Aux termes de l’art. 393 al. 1 let. a CPP,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Donatsch/Hansjakob/Lieber [éd.], op. cit., n. 16 ad art. 393 CPP; CREP 4 décembre 2012/739).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 ATF 134 III 188 c. 2.3; ATF 133 IV 139 c. 4; ATF 99 Ia 437 c. 1; TF 1B_688/2011 du 14 mars 2012).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Par « préjudice juridique »,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2011n. 6 ad art. 394 CPP). b) En l'espèce, il sera loisible au prévenu de réitérer la réquisition litigieuse devant le tribunal de première instance. Le refus du procureur d’y donner suite, en l’état de la procédure, n'est pas de nature à causer au recourant un préjudice irréparable. En effet, ladite réquisition, relative notamment à l’examen de l’état psychique du prévenu et aux mesures propres à prévenir un éventuel risque de récidive, ne porte pas sur des preuves qui risqueraient de disparaître prochainement ou sur une expertise dont l’objet serait susceptible de modifications (CREP 27 décembre 2012/807 ; CREP 21 décembre 2012/801). c) Il résulte de ce qui précède que le recours est irrecevable.</w:t>
      </w:r>
    </w:p>
    <w:p>
      <w:r>
        <w:rPr>
          <w:b/>
        </w:rPr>
        <w:t>E. 2</w:t>
      </w:r>
    </w:p>
    <w:p>
      <w:r>
        <w:t>En définitive, le recours doit être déclaré irrecevable, sans autres échanges d’écritures (art. 390 al. 2 CPP). Les frais de la procédure de recours, constitués en l’espèce des frais d’arrêt, par 440 fr. (art. 20 al. 1 TFIP [Tarif des frais de procédure et indemnités en matière pénale du 28 septembre 2010, RSV 312.03.1]), ainsi que des frais imputables à la défense d’office (art. 422 al. 1 et al. 2 let. a CPP), fixés à 450 fr., plus la TVA, par 36 fr., soit 486 fr. au total, seront mis à la charge du recourant, qui succombe (art. 428 al. 1 CPP). Par ces motifs, la Chambre des recours pénale, statuant à huis clos, prononce : I. Le recours est irrecevable. II. L’indemnité allouée au défenseur d’office de Z.________ est fixée à 486 fr. (quatre cent huitante-six francs). III. Les frais d’arrêt, par 440 fr. (quatre cent quarante francs), ainsi que l’indemnité due au défenseur d’office de Z.________, par 486 fr. (quatre cent huitante-six francs), sont mis à la charge de ce dernier. IV. Le remboursement à l’Etat de l’indemnité allouée au chiffre III ci-dessus sera exigible pour autant que la situation économique de Z.________ se soit améliorée. V. Le présent arrêt est exécutoire. Le président :               Le greffier : Du L'arrêt qui précède, dont la rédaction a été approuvée à huis clos, est notifié, par l'envoi d'une copie complète, à : - M. Yann Jaillet, avocat (pour Z.________), - M. François Gillard, avocat (pour B.D.________), - Ministère public central, et communiqué à : - M. le Procureur de l’arrondissement du Nord vaudois, - M. W.________,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