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517 vom 6. Juni 2014</w:t>
      </w:r>
    </w:p>
    <w:p>
      <w:r>
        <w:t>VD Tribunal cantonal, 2014-06-06, FR</w:t>
      </w:r>
    </w:p>
    <w:p>
      <w:r>
        <w:rPr>
          <w:b/>
        </w:rPr>
        <w:t xml:space="preserve">Quelle: </w:t>
      </w:r>
      <w:r>
        <w:t>https://mcp.opencaselaw.ch/entscheid/vd_findinfo_D_cision___2014___517</w:t>
      </w:r>
    </w:p>
    <w:p>
      <w:r>
        <w:t>FR: VD_FINDINFO Décision / 2014 / 517 du 6 juin 2014</w:t>
      </w:r>
    </w:p>
    <w:p>
      <w:r>
        <w:t>IT: VD_FINDINFO Décision / 2014 / 517 del 6 giugno 2014</w:t>
      </w:r>
    </w:p>
    <w:p>
      <w:pPr>
        <w:pStyle w:val="Heading2"/>
      </w:pPr>
      <w:r>
        <w:t>Regeste</w:t>
      </w:r>
    </w:p>
    <w:p>
      <w:r>
        <w:t>CURATEUR, QUALITÉ POUR RECOURIR | 382 al. 1 CPP (CH)</w:t>
      </w:r>
    </w:p>
    <w:p>
      <w:pPr>
        <w:pStyle w:val="Heading2"/>
      </w:pPr>
      <w:r>
        <w:t>Erwägungen</w:t>
      </w:r>
    </w:p>
    <w:p>
      <w:r>
        <w:rPr>
          <w:b/>
        </w:rPr>
        <w:t>E. 1</w:t>
      </w:r>
    </w:p>
    <w:p>
      <w:r>
        <w:t>a)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b) En l’espèce, le recours a été interjeté en temps utile (cf. art. 384 let. b CPP), devant l’autorité compétente (art. 396 al. 1 CPP) et satisfait aux conditions de forme posées par l’art. 385 al. 1 CPP, de sorte qu’il est recevable en la forme.</w:t>
      </w:r>
    </w:p>
    <w:p>
      <w:r>
        <w:rPr>
          <w:b/>
        </w:rPr>
        <w:t>E. 2</w:t>
      </w:r>
    </w:p>
    <w:p>
      <w:r>
        <w:t>a) Dans la mesure où le recours a été déposé par le curateur, on peut se demander si un tel recours est recevable, l’art. 19c al. 1 CC stipulant que les personnes capables de discernement mais privées de l’exercice des droits civils exercent leurs droits strictement personnels de manière autonome. Cette question peut toutefois rester ouverte, dès lors que le recours doit de toute manière être déclaré irrecevable pour les motifs exposés ci-après. b) Aux termes de l'art. 382 al. 1 CPP, toute partie qui a un intérêt juridiquement protégé à l’annulation ou à la modification d’une décision a qualité pour recourir contre celle-ci. Le recours déposé par un représentant légal n’est envisageable qu’à la condition qu’il invoque l’intérêt juridiquement protégé du représenté (Calame, in : Kuhn/Jeanneret [éd.], Commentaire romand, Code de procédure pénale suisse, Bâle 2011, n. 9 ad art. 382 CPP). c) En l’espèce, le recours s’appuie sur le fait que le premier juge aurait méconnu l’existence d’une curatelle et d’un placement à des fins d’assistance, que ce placement devrait être levé avant l’octroi d’une libération conditionnelle et que le délai octroyé au curateur pour trouver une chambre agréée par l’OEP devrait être prolongé. Il n’explique toutefois pas en quoi la méconnaissance de ces différents éléments par le premier juge aurait abouti à la violation d’une règle de droit destinée à protéger les intérêts de l’intéressé, dès lors que la libération conditionnelle a, en l’espèce, été octroyée. Le curateur ne conclut du reste pas à la réforme de la décision entreprise dans un sens plus favorable au condamné mais uniquement à son annulation, ce qui va clairement à l’encontre des intérêts du condamné. En d’autres termes, le curateur ne fait donc pas valoir l’existence d’un intérêt juridiquement protégé de X.________ à l’annulation ou à la modification de la décision entreprise. La qualité pour recourir au sens de l’art. 382 al. 1 CPP fait ainsi défaut.</w:t>
      </w:r>
    </w:p>
    <w:p>
      <w:r>
        <w:rPr>
          <w:b/>
        </w:rPr>
        <w:t>E. 3</w:t>
      </w:r>
    </w:p>
    <w:p>
      <w:r>
        <w:t>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exceptionnellement laissés à la charge de l’Etat (art. 423 al. 1 CPP). Par ces motifs, la Chambre des recours pénale, statuant à huis clos, prononce : I. Le recours est irrecevable. II. Les frais du présent arrêt, par 440 fr. (quatre cent quarante francs), sont laissés à la charge de l’Etat. III. Le présent arrêt est exécutoire. Le président :               La greffière : Du L'arrêt qui précède, dont la rédaction a été approuvée à huis clos, est notifié, par l'envoi d'une copie complète, à : - Office des curatelles et tutelles professionnelles (à l’att. de N.________), - M. X.________, - Ministère public central, et communiqué à : ‑ Mme la Juge d’application des peines, - M. le Procureur de l’arrondissement de Lausanne, - Office d’exécution des peines (réf. : OEP/PPL/14031/AVI/JR), - Etablissements de Witzwil,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