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506 vom 12. Juni 2014</w:t>
      </w:r>
    </w:p>
    <w:p>
      <w:r>
        <w:t>VD Tribunal cantonal, 2014-06-12, FR</w:t>
      </w:r>
    </w:p>
    <w:p>
      <w:r>
        <w:rPr>
          <w:b/>
        </w:rPr>
        <w:t xml:space="preserve">Quelle: </w:t>
      </w:r>
      <w:r>
        <w:t>https://mcp.opencaselaw.ch/entscheid/vd_findinfo_D_cision___2014___506</w:t>
      </w:r>
    </w:p>
    <w:p>
      <w:r>
        <w:t>FR: VD_FINDINFO Décision / 2014 / 506 du 12 juin 2014</w:t>
      </w:r>
    </w:p>
    <w:p>
      <w:r>
        <w:t>IT: VD_FINDINFO Décision / 2014 / 506 del 12 giugno 2014</w:t>
      </w:r>
    </w:p>
    <w:p>
      <w:pPr>
        <w:pStyle w:val="Heading2"/>
      </w:pPr>
      <w:r>
        <w:t>Regeste</w:t>
      </w:r>
    </w:p>
    <w:p>
      <w:r>
        <w:t>DÉCISION DE RENVOI, TRIBUNAL FÉDÉRAL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2014, n. 27 ad art. 107 LTF; CREP 23 avril 2012/197).</w:t>
      </w:r>
    </w:p>
    <w:p>
      <w:r>
        <w:rPr>
          <w:b/>
        </w:rPr>
        <w:t>E. 2</w:t>
      </w:r>
    </w:p>
    <w:p>
      <w:r>
        <w:t>a) Dans son arrêt du 12 mai 2014 (c. 1.4), le Tribunal fédéral a considéré que, contrairement à ce qu’avait retenu la Cour de céans, les informations figurant dans le procès-verbal d’audition du recourant du 29 novembre 2012 et dans le rapport de police ne donnaient pas d'indice sur ce qui s'était dit après cette audition et que, par conséquent, le seul moyen d'établir si le recourant avait été ou non informé qu'il n'y aurait pas de suite à l'affaire était l'audition des personnes présentes à ce moment-là. Il a ajouté que malgré les informations figurant dans le procès-verbal, le recourant, qui n'était pas assisté d'un avocat durant ses auditions, ni durant la procédure, pouvait de bonne foi se fier aux affirmations d'un policier, si celles-ci étaient avérées, et que l'évidence de l'illicéité de son comportement n’était pas telle qu'elle s'imposait à lui dans le cas où il aurait effectivement reçu des assurances contraires de la part du policier. b) Il s’ensuit que la cause doit être renvoyée au Procureur pour qu’il procède aux auditions des témoins requises par le recourant, afin de déterminer si celui-ci avait été informé d'une quelconque façon que l'affaire n’aurait pas de suite, auquel cas il devrait être protégé dans sa bonne foi, conformément aux instructions du Tribunal fédéral.</w:t>
      </w:r>
    </w:p>
    <w:p>
      <w:r>
        <w:rPr>
          <w:b/>
        </w:rPr>
        <w:t>E. 3</w:t>
      </w:r>
    </w:p>
    <w:p>
      <w:r>
        <w:t>a) Il résulte de ce qui précède que le recours doit être admis, la décision de refus de restitution de délai du 26 septembre 2013 annulée et la cause renvoyée au Ministère public pour qu’il procède dans le sens des considérants. b) Le recourant obtenant gain de cause, les frais de la procédure de recours, comprenant l’émolument de l’arrêt du 10 octobre 2013, par 660 fr., ainsi que l’émolument du présent arrêt, par 660 fr., soit un total de 1'320 fr., seront laissés à la charge de l’Etat (art. 423 al. 1 CPP). c) S’agissant des dépens réclamés par le recourant,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 3 et les références citées; CREP 22 août 2012/568 et la référence citée). Par ces motifs, la Chambre des recours pénale, statuant à huis clos, prononce : I. Le recours est admis. II. La décision du 26 septembre 2013 est annulée et le dossier de la cause est renvoyé au Ministère public de l’arrondissement de Lausanne pour qu'il procède dans le sens des considérants. III. Les frais de la procédure de recours, par 1’320 fr. (mille trois cent vingt francs), sont laissés à la charge de l’Etat. IV. Le présent arrêt est exécutoire. Le président :               Le greffier : Du L'arrêt qui précède, dont la rédaction a été approuvée à huis clos, est notifié, par l'envoi d'une copie complète, à : - M. Pierre-Yves Baumann, avocat (pour F.________), - Ministère public central, et communiqué à : ‑ M. le Procureur de l’arrondissement de Lausanne, - M. S.________,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