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504 vom 27. Februar 2014</w:t>
      </w:r>
    </w:p>
    <w:p>
      <w:r>
        <w:t>VD Tribunal cantonal, 2014-02-27, FR</w:t>
      </w:r>
    </w:p>
    <w:p>
      <w:r>
        <w:rPr>
          <w:b/>
        </w:rPr>
        <w:t xml:space="preserve">Quelle: </w:t>
      </w:r>
      <w:r>
        <w:t>https://mcp.opencaselaw.ch/entscheid/vd_findinfo_D_cision___2014___504</w:t>
      </w:r>
    </w:p>
    <w:p>
      <w:r>
        <w:t>FR: VD_FINDINFO Décision / 2014 / 504 du 27 février 2014</w:t>
      </w:r>
    </w:p>
    <w:p>
      <w:r>
        <w:t>IT: VD_FINDINFO Décision / 2014 / 504 del 27 febbraio 2014</w:t>
      </w:r>
    </w:p>
    <w:p>
      <w:pPr>
        <w:pStyle w:val="Heading2"/>
      </w:pPr>
      <w:r>
        <w:t>Regeste</w:t>
      </w:r>
    </w:p>
    <w:p>
      <w:r>
        <w:t>DÉTENTION PROVISOIRE, RISQUE DE COLLUSION, ENQUÊTE PÉNALE, PROLONGATION | 221 al. 1 let. b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w:t>
      </w:r>
    </w:p>
    <w:p>
      <w:r>
        <w:t>Le recourant soutient que les éléments au dossier ne suffiraient pas pour permettre de fonder des soupçons sérieux de culpabilité s’agissant de l’ensemble des charges qui pèsent sur lui. Il conteste en outre l’existence d’un risque de fuite, de récidive ou de collusion.</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 risque de fuite ») (a), qu’il compromette la recherche de la vérité en exerçant une influence sur des personnes ou en altérant des moyens de preuve (« risque de collusion ») (b) ou qu’il compromette sérieusement la sécurité d’autrui par des crimes ou des délits graves après avoir déjà commis des infractions du même genre (« risque de réitération ») (c).</w:t>
      </w:r>
    </w:p>
    <w:p>
      <w:r>
        <w:rPr>
          <w:b/>
        </w:rPr>
        <w:t>E. 2.2</w:t>
      </w:r>
    </w:p>
    <w:p>
      <w:r>
        <w:t>S’agissant d’abord des soupçons qui doivent peser sur le prévenu,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(TF 1B_39/2014 du 11 février 2014 c. 2.2 ; ATF 137 IV 122 c. 3.2 ). En l’espèce, dans le cadre d’une opération de surveillance de trafiquants africains à Bex, le 16 janvier 2014, la police a observé une voiture immatriculée au nom de X.________ s’arrêter devant l’appartement occupé par les trafiquants présumés, puis repartir. Lors de l’intervention policière qui a eu lieu peu après, il a été saisi une quantité totale d’environ 100 grammes de cocaïne. Au surplus, le véhicule du prévenu a été repéré à Vevey dans la soirée du 17 janvier 2014, alors qu’il était stationné dans le quartier d’où sont activées les antennes lorsque Y.________émettait des communications depuis son domicile. Il ressort également de contrôles téléphoniques effectués que Y.________ était fourni par un inconnu surnommé « Le Cap-Verdien » qui pourrait être X.________. En effet, selon les déclarations de Y.________, le « Cap-Verdien » se trouvait à Vevey le soir du 15 janvier 2014 ; il aurait frappé à la porte d’un trafiquant dénommé « [...] » mais celui-ci n’aurait pas ouvert la porte (PV aud. 5 du 8 mai 2014, R. 10). Le même jour, la police a observé, vers 21h30, la voiture de X.________ s’arrêter devant la porte dudit « [...] » et repartir une minute plus tard. Enfin, il ressort de la dernière audition de Y.________ que le « Cap-Verdien » lui aurait livré à huit reprises entre 100 et 150 grammes de cocaïne (PV aud. 4 du 25 mai 2014, R. 22). Au vu de ces éléments, il existe des indices sérieux de culpabilité concernant l’implication de X.________ dans un trafic de stupéfiants.</w:t>
      </w:r>
    </w:p>
    <w:p>
      <w:r>
        <w:rPr>
          <w:b/>
        </w:rPr>
        <w:t>E. 2.3</w:t>
      </w:r>
    </w:p>
    <w:p>
      <w:r>
        <w:t>Le Tribunal des mesures de contrainte a ensuite retenu l’existence d’un risque de fuite et d’un risque de collusion. S’agissant d’abord du risque de collusion, le Tribunal des mesures de contrainte a fait sienne l’argumentation du Ministère public selon laquelle toutes les personnes impliquées dans le trafic, en particulier le fournisseur de la cocaïne, n’avaient pas été identifiées à ce jour. Ce raisonnement doit être suivi en l’état. En effet, l'instruction n'a débuté que depuis quelques mois et, selon les éléments actuels de l’enquête, il semblerait que le recourant fasse partie d'un réseau dans lequel il pourrait avoir un rôle d'une certaine importance au vu des quantités de drogue annoncées par Y.________. A ce stade toutefois, les ramifications du réseau de trafic de drogue n'ont pas encore été clarifiées et le recourant persiste à nier toute implication dans un trafic de cocaïne. En cas de libération, il pourrait vouloir protéger et/ou avertir d’autres personnes dont l'identité est encore ignorée des autorités pénales. A ce stade, on doit donc admettre que le risque de collusion subsiste à tout le moins jusqu’à ce que le procureur ait pu procéder, dans le courant du mois de juin, aux dernières auditions du recourant et des autres personnes impliquées et qu’il ait pu finaliser l’analyse des écoutes téléphoniques ordonnées, éléments qui pourraient permettre d’établir plus précisément l’implication respective des prévenus ainsi que d’éventuels autres protagonistes dans le trafic de stupéfiants. Au vu de ce qui précède, le risque de collusion justifie le maintien en détention provisoire du recourant. Les conditions de la détention provisoire étant alternatives, la question d’un éventuel risque de fuite ou de réitération peut rester indécise, dès lors que la détention provisoire est justifiée par le risque de collusion. En outre, aucune mesure de substitution ne saurait éliminer ce risque.</w:t>
      </w:r>
    </w:p>
    <w:p>
      <w:r>
        <w:rPr>
          <w:b/>
        </w:rPr>
        <w:t>E. 2.5</w:t>
      </w:r>
    </w:p>
    <w:p>
      <w:r>
        <w:t>La détention provisoire doit encore être conforme au principe de proportionnalité. Cette condition, qui doit être examinée au regard de l’ensemble des circonstances concrètes du cas d’espèce, implique en particulier que le juge ne peut maintenir la détention provisoire qu’aussi longtemps qu’elle n’est pas très proche de la durée de la peine privative de liberté à laquelle il faut s’attendre concrètement en cas de condamnation (art. 212 al. 3 CPP; cf. ATF 133 I 168 c. 4.1; ATF 132 I 21 c. 4.1). Toutefois, le fait que la peine encourue puisse être assortie du sursis, total ou partiel, n'est pas déterminant sous l'angle de la proportionnalité (ATF 133 I 270 c. 3.4.2). En l’espèce, compte tenu des infractions faisant l'objet de l'instruction, les quelque trois mois et demi de détention subis à ce jour par X.________ demeurent proportionnés à la peine concrètement encourue en cas de condamnation.</w:t>
      </w:r>
    </w:p>
    <w:p>
      <w:r>
        <w:rPr>
          <w:b/>
        </w:rPr>
        <w:t>E. 3</w:t>
      </w:r>
    </w:p>
    <w:p>
      <w:r>
        <w:t>En définitive, le recours doit être rejeté sans autre échange d’écritures (art. 390 al. 2 CPP) et l'ordonnance du 26 mai 2014 confirmée. Les frais de la procédure de recours, constitués en l’espèce de l’émolument d'arrêt, par 660 fr. (art. 20 al. 1 TFJP [tarif des frais judiciaires pénaux; RSV 312.03.1]), et des frais imputables à la défense d’office (art. 422 al. 1 et 2 let. a CPP), fixés à 630 fr., plus la TVA par 50 fr. 40, soit au total 680 fr. 40,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26 mai 2014 est confirmée. III. L’indemnité due au défenseur d’office de X.________ est fixée à 680 fr. 40 (six cent huitante francs et quarante centimes). IV. Les frais d’arrêt, par 660 fr. (six cent soixante francs), ainsi que l’indemnité due au défenseur d’office de X.________, par 680 fr. 40 (six cent huitante francs et quarante centimes), sont mis à la charge du recourant. V. Le remboursement à l’Etat de l’indemnité allouée au chiffre III ci-dessus sera exigible pour autant que la situation économique de X.________ se soit améliorée. VI. Le présent arrêt est exécutoire. Le président :               Le greffier : Du L'arrêt qui précède, dont la rédaction a été approuvée à huis clos, est notifié, par l'envoi d'une copie complète, à : - M. Raphaël Dessemontet, avocat (pour X.________), - Ministère public central, et communiqué à : ‑ Mme la Présidente du Tribunal des mesures de contrainte, - M. le Procureur cantonal STRADA,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