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485 vom 9. Dezember 2004</w:t>
      </w:r>
    </w:p>
    <w:p>
      <w:r>
        <w:t>VD Tribunal cantonal, 2004-12-09, FR</w:t>
      </w:r>
    </w:p>
    <w:p>
      <w:r>
        <w:rPr>
          <w:b/>
        </w:rPr>
        <w:t xml:space="preserve">Quelle: </w:t>
      </w:r>
      <w:r>
        <w:t>https://mcp.opencaselaw.ch/entscheid/vd_findinfo_D_cision___2014___485</w:t>
      </w:r>
    </w:p>
    <w:p>
      <w:r>
        <w:t>FR: VD_FINDINFO Décision / 2014 / 485 du 9 décembre 2004</w:t>
      </w:r>
    </w:p>
    <w:p>
      <w:r>
        <w:t>IT: VD_FINDINFO Décision / 2014 / 485 del 9 dicembre 2004</w:t>
      </w:r>
    </w:p>
    <w:p>
      <w:pPr>
        <w:pStyle w:val="Heading2"/>
      </w:pPr>
      <w:r>
        <w:t>Regeste</w:t>
      </w:r>
    </w:p>
    <w:p>
      <w:r>
        <w:t>MESURE THÉRAPEUTIQUE INSTITUTIONNELLE, LIBÉRATION CONDITIONNELLE | 59 CP, 60 al. 1 CP, 62d al. 1 CP, 26 LEP</w:t>
      </w:r>
    </w:p>
    <w:p>
      <w:pPr>
        <w:pStyle w:val="Heading2"/>
      </w:pPr>
      <w:r>
        <w:t>Erwägungen</w:t>
      </w:r>
    </w:p>
    <w:p>
      <w:r>
        <w:rPr>
          <w:b/>
        </w:rPr>
        <w:t>E. 1</w:t>
      </w:r>
    </w:p>
    <w:p>
      <w:r>
        <w:t>a) L’art. 26 al. 1 LEP (loi cantonale du</w:t>
      </w:r>
    </w:p>
    <w:p>
      <w:r>
        <w:rPr>
          <w:b/>
        </w:rPr>
        <w:t>E. 1.3</w:t>
      </w:r>
    </w:p>
    <w:p>
      <w:r>
        <w:t>et les références citées). c) En l’espèce, il y a tout d’abord lieu de souligner l’évolution positive que A.________ a connue depuis son entrée aux Etablissements de Bellechasse en date du 21 mai 2012. En effet, il ressort du « Bilan de phase et suite du plan d’exécution de la sanction » du 25 novembre 2013 que tous les objectifs qui avaient été fixés au recourant lors de son entrée aux Etablissements de Bellechasse ont été atteints et que toutes les conditions posées à l’exécution de sa mesure ont été respectées (P. 79). Il faut également constater le succès avec lequel A.________ a réussi à nouer et à s’investir dans sa relation thérapeutique avec le Dr S.________ et à commencer enfin un travail sur lui-même lui permettant notamment de diminuer dans leur intensité ses convictions délirantes, mais également de contrôler son impulsivité et d’adopter un comportement adéquat et non plus querelleur (P. 77). Cependant, il ressort entre autres de l’expertise du 1 er juillet 2013 que le diagnostic médical du recourant reste inchangé, ses troubles délirants étant chroniques et par conséquent persistants (P. 54, p. 8). L’expertise conclut également à l’existence d’un risque de récidive surtout au préjudice de sa victime (P. 54, p. 11). Aux dires de l’expert, ce risque n’est certes pas imminent mais doit être considéré comme important. Enfin, tant l’expert que le médecin traitant du recourant se rejoignent pour considérer qu’une libération conditionnelle n’est envisageable que moyennant d’une part la mise en place d’un cadre de vie strict, à savoir un traitement ambulatoire imposé, une assistance de probation ainsi qu’une interdiction formelle d’entrer en contact avec sa sœur, et d’autre part que le recourant puisse bénéficier de conditions sociales et professionnelles stables (P. 54, p. 12 ; P. 73, p. 4 et 6). Il ressort également du dossier que l’absence d’un encadrement médico-social à la libération du recourant aurait pour conséquence d’augmenter son anxiété et par là même le risque de récidive, celui-ci étant étroitement lié à cette dernière. Or, si le recourant est incontestablement sur la bonne voie, il faut admettre, avec le Juge d’application des peines, qu’à ce stade, il n’existe encore aucun projet suffisamment stable tant sur le plan social que professionnel pour autoriser une libération conditionnelle. Dans ces conditions, la libération conditionnelle du recourant doit, en l’état, être refusée. 3. Le recourant fait valoir que la prolongation de la mesure thérapeutique institutionnelle pour une durée de quatre ans serait excessive et ne respecterait pas le principe de la proportionnalité. a) L'art. 59 al. 4 CP 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Dans ce cadre, elle ne connaît pas de limite maximale. Cette prolongation est indiquée lors de traitements selon l'art. 59 al. 3 CP. Cette possibilité existe parce que les mesures thérapeutiques appliquées à des malades mentaux chroniques n'agissent souvent que très lentement (TF 6B_804/2011 du 14 février 2012, c. 1.1.4 ; ATF 137 IV 201 c. 1.3 et les arrêts cités). b) Avec le recourant, il convient d’admettre que la mesure dure depuis longtemps, puisque A.________ a été condamné le 9 décembre 2004 à une peine privative de liberté de deux ans, peine suspendue au profit d’un internement, lequel a été remplacé, en date du 23 avril 2008, par une mesure thérapeutique institutionnelle. La gravité de cette atteinte aux droits de sa personnalité est toutefois atténuée du fait que le recourant a déjà bénéficié d'un allègement de son régime sous la forme de multiples conduites et que des perspectives d'allègement supplémentaires ne sont pas à exclure à dires de médecin et de la Direction des Etablissements de Bellechasse. Enfin, il faut tenir compte du fait que le traitement vise à améliorer l'état de santé de l’intéressé et produit donc aussi des effets positifs dans son intérêt. Les récents progrès réalisés par le recourant démontrent en outre l’utilité et la nécessité de la mesure. Les conditions d'une libération conditionnelle n’étant toutefois pas encore réunies, et la durée de la mesure thérapeutique institutionnelle étant arrivée à terme, il se justifie de la prolonger. Toutefois, la prolongation d’une durée de quatre ans telle qu’ordonnée par le Juge d’application des peines est disproportionnée. En effet, comme déjà relevé, l’évolution très favorable de A.________ a permis de débuter un processus d’élargissement du cadre. Partant, en cas de succès de la continuation de ce processus, on admettra que la libération conditionnelle, qui constitue l’ultime étape, est à portée de main. Il s’agit en effet, pour l’essentiel, de mettre sur pied un projet d’encadrement médico-social répondant aux conditions posées tant par l’expert que par le Dr S.________. Un délai de deux ans apparaît amplement suffisant pour que les différents intervenants mettent en place les mesures recommandées et pour que le recourant prépare sa sortie dans de bonnes conditions. Par conséquent, la mesure thérapeutique institutionnelle ne sera prolongée que pour une durée de deux ans à compter du 16 juin 2013. 4. Il résulte de ce qui précède que le recours de A.________ doit être partiellement admis et l’ordonnance attaquée réformée dans le sens des considérants qui précèdent. Compte tenu de l’issue de la procédure de recours, les frais de celle-ci, constitués des frais d'arrêt, par 1’980 fr. (art. 20 al. 1 TFJP [tarif des frais judiciaires pénaux; RSV 312.03.1]), ainsi que des frais imputables à la défense d’office (art. 422 al. 1 et 2 let. a CPP), fixés à 720 fr., plus la TVA, par 57 fr. 60, seront mis par trois quarts à la charge du recourant (art. 428 al. 1 CPP), le solde étant laissé à la charge de l’Etat (art. 423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partiellement admis. II. L’ordonnance du 9 mai 2014 du Juge d’application des peines est réformée au chiffre II de son dispositif en ce sens que la mesure thérapeutique institutionnelle ordonnée le 16 juin 2008 par la Cour de cassation pénale du Tribunal cantonal est prolongée pour une durée de deux ans à compter du 16 juin 2013, l’ordonnance étant confirmée pour le surplus. III. L’indemnité d’office allouée au défenseur d’office de A.________ est fixée à 777 fr. 60 (sept cent septante-sept francs et soixante centimes). IV. Les frais d’arrêt, par 1’980 fr. (mille neuf cent huitante francs), ainsi que l’indemnité due au défenseur d’office de A.________ selon le chiffre III ci-dessus, sont mis par trois quarts, soit par 2'068 fr. 20 (deux mille soixante-huit francs et vingt centimes), à la charge du recourant, le solde étant laissé à la charge de l’Etat. V. Le remboursement à l'Etat des trois quarts de l'indemnité allouée au chiffre III ci-dessus sera exigible pour autant que la situation économique de A.________ se soit améliorée. VI. Le présent arrêt est exécutoire. Le président :               La greffière : Du L'arrêt qui précède, dont la rédaction a été approuvée à huis clos, est notifié, par l'envoi d'une copie complète, à : - Me Ludovic Tirelli, avocat (pour A.________), - Ministère public central ; et communiqué à : - M. le Juge d’application des peines, - M. le Procureur du Ministère public central, division affaires spéciales contrôle et mineurs, - Office d’exécution des peines (réf. : MES/41963/AVI/VRI), - Etablissements de Bellechasse,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r>
        <w:rPr>
          <w:b/>
        </w:rPr>
        <w:t>E. 4</w:t>
      </w:r>
    </w:p>
    <w:p>
      <w:r>
        <w:t>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(art. 384 let. b CPP), à l’autorité de recours (art. 396 al. 1 CPP). b) En l’espèce, il y a lieu d’entrer en matière sur le recours, qui a été interjeté en temps utile devant l’autorité compétente et qui satisfait aux conditions de forme posées par l’art. 385 al. 1 CPP. 2. Le recourant soutient que la libération conditionnelle de la mesure thérapeutique institutionnelle devrait lui être accordée au motif que, selon les propos de l’expert lors de son audition par le Juge d’application des peines, une libération conditionnelle apparaîtrait possible si les mesures adéquates pouvaient être mise en place. a)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 1.1 et la jurisprudence citée).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et la jurisprudence citée). Ce pronostic doit être posé en tenant compte du principe de la proportionnalité (art.</w:t>
      </w:r>
    </w:p>
    <w:p>
      <w:r>
        <w:rPr>
          <w:b/>
        </w:rPr>
        <w:t>E. 5</w:t>
      </w:r>
    </w:p>
    <w:p>
      <w:r>
        <w:t>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b)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