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483 vom 23. September 2010</w:t>
      </w:r>
    </w:p>
    <w:p>
      <w:r>
        <w:t>VD Tribunal cantonal, 2010-09-23, FR</w:t>
      </w:r>
    </w:p>
    <w:p>
      <w:r>
        <w:rPr>
          <w:b/>
        </w:rPr>
        <w:t xml:space="preserve">Quelle: </w:t>
      </w:r>
      <w:r>
        <w:t>https://mcp.opencaselaw.ch/entscheid/vd_findinfo_D_cision___2014___483</w:t>
      </w:r>
    </w:p>
    <w:p>
      <w:r>
        <w:t>FR: VD_FINDINFO Décision / 2014 / 483 du 23 septembre 2010</w:t>
      </w:r>
    </w:p>
    <w:p>
      <w:r>
        <w:t>IT: VD_FINDINFO Décision / 2014 / 483 del 23 settembre 2010</w:t>
      </w:r>
    </w:p>
    <w:p>
      <w:pPr>
        <w:pStyle w:val="Heading2"/>
      </w:pPr>
      <w:r>
        <w:t>Regeste</w:t>
      </w:r>
    </w:p>
    <w:p>
      <w:r>
        <w:t>EXÉCUTION DES PEINES ET DES MESURES, OPPOSITION TARDIVE | 37 al. 1 LEP, 38 LEP</w:t>
      </w:r>
    </w:p>
    <w:p>
      <w:pPr>
        <w:pStyle w:val="Heading2"/>
      </w:pPr>
      <w:r>
        <w:t>Erwägungen</w:t>
      </w:r>
    </w:p>
    <w:p>
      <w:r>
        <w:rPr>
          <w:b/>
        </w:rPr>
        <w:t>E. 1</w:t>
      </w:r>
    </w:p>
    <w:p>
      <w:r>
        <w:t>En vertu de l’art. 38 al. 1 LEP (loi cantonale du 4 juillet 2006 sur l’exécution des condamnations pénales; RSV 340.01),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(art. 38 al. 2 LEP). Le recours doit être adressé par écrit, dans un délai de dix jours dès la notification de la décision attaquée (cf. art. 384 let. b CPP), à l’autorité de recours (art. 396 al. 1 CPP). En l’espèce, le recours a été interjeté en temps utile devant l’autorité compétente et satisfait aux conditions de forme posées par l’art. 385 al. 1 CPP, de sorte qu’il y a lieu d’entrer en matière.</w:t>
      </w:r>
    </w:p>
    <w:p>
      <w:r>
        <w:rPr>
          <w:b/>
        </w:rPr>
        <w:t>E. 2</w:t>
      </w:r>
    </w:p>
    <w:p>
      <w:r>
        <w:t>a) A titre liminaire, il sied de constater que le courrier du recourant du 19 avril 2014 contient, pour l’essentiel, une nouvelle demande d’exécution de peine sous la forme d’arrêts domiciliaires ou de semi-liberté, qui est de la compétence de l’OEP, ce qui a d’ailleurs été rappelé au recourant les 1 er et 8 mai 2014 (P. 4 et 6). Toutefois, au vu du libellé de son courrier, c’est à juste titre que le Juge d’application des peines l’a aussi considéré comme un recours contre l’ordre d’exécution de peine. b) Selon l’art. 19 al. 1 let. a LEP, l’OEP est compétent pour convoquer le condamné en vue de l’exécution de sa peine. Cette décision, appelée dans la pratique ordre d’exécution de peine, peut faire l’objet d’un recours auprès du juge d’application des peines, conformément à l’art. 36 LEP (CREP 27 mai 2013/300 ; CREP 30 août 2013/516). Selon l’art. 37 al. 1 LEP, le recours s'exerce par écrit dans les trente jours dès la notification de la décision attaquée. En l’espèce, l’ordre d’exécution de peine du 22 novembre 2013 établi par l’OEP était susceptible de recours auprès du Juge d’application des peines. Toutefois, déposé le 19 avril 2014, le recours était manifestement tardif. C’est donc à juste titre que le Juge d’application des peines l’a déclaré irrecevable.</w:t>
      </w:r>
    </w:p>
    <w:p>
      <w:r>
        <w:rPr>
          <w:b/>
        </w:rPr>
        <w:t>E. 3</w:t>
      </w:r>
    </w:p>
    <w:p>
      <w:r>
        <w:t>Sur le vu de ce qui précède, le recours doit être rejeté et le prononcé sur recours administratif confirmé. Les frais de la procédure de recours, constitués en l'espèce du seul émolument d'arrêt, par 440 fr. (art. 20 al. 1 TFJP [Tarif des frais judiciaires pénaux du 28 septembre 2010; RSV 312.03.1]), seront mis à la charge du recourant, qui succombe (art. 428 al. 1 CPP). Par ces motifs, la Chambre des recours pénale, statuant à huis clos, prononce : I. Le recours est rejeté. II. Le prononcé attaqué est confirmé. III. Les frais du présent arrêt, par 440 fr. (quatre cent quarante francs), sont mis à la charge de J.________. IV. Le présent arrêt est exécutoire. Le président :               La greffière : Du L'arrêt qui précède, dont la rédaction a été approuvée à huis clos, est notifié, par l'envoi d'une copie complète, à : - M. J.________, - Ministère public central, et communiqué à : ‑ M. le Juge d’application des peines, - Office d’exécution des peines (réf. : OEP/PPL/24662),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