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482 vom 13. März 2014</w:t>
      </w:r>
    </w:p>
    <w:p>
      <w:r>
        <w:t>VD Tribunal cantonal, 2014-03-13, FR</w:t>
      </w:r>
    </w:p>
    <w:p>
      <w:r>
        <w:rPr>
          <w:b/>
        </w:rPr>
        <w:t xml:space="preserve">Quelle: </w:t>
      </w:r>
      <w:r>
        <w:t>https://mcp.opencaselaw.ch/entscheid/vd_findinfo_D_cision___2014___482</w:t>
      </w:r>
    </w:p>
    <w:p>
      <w:r>
        <w:t>FR: VD_FINDINFO Décision / 2014 / 482 du 13 mars 2014</w:t>
      </w:r>
    </w:p>
    <w:p>
      <w:r>
        <w:t>IT: VD_FINDINFO Décision / 2014 / 482 del 13 marzo 2014</w:t>
      </w:r>
    </w:p>
    <w:p>
      <w:pPr>
        <w:pStyle w:val="Heading2"/>
      </w:pPr>
      <w:r>
        <w:t>Regeste</w:t>
      </w:r>
    </w:p>
    <w:p>
      <w:r>
        <w:t>NOTIFICATION DE LA DÉCISION, OPPOSITION TARDIVE, JUGE UNIQUE | 395 let. b CPP (CH), 85 CPP (CH)</w:t>
      </w:r>
    </w:p>
    <w:p>
      <w:pPr>
        <w:pStyle w:val="Heading2"/>
      </w:pPr>
      <w:r>
        <w:t>Erwägungen</w:t>
      </w:r>
    </w:p>
    <w:p>
      <w:r>
        <w:rPr>
          <w:b/>
        </w:rPr>
        <w:t>E. 1</w:t>
      </w:r>
    </w:p>
    <w:p>
      <w:r>
        <w:t>Le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est susceptible de recours selon les art. 393 ss CPP (Gilliéron/Killias, in : Kuhn/Jeanneret [éd.], Commentaire romand, Code de procédure pénale suisse, Bâle 2011, n. 5 ad art. 356 CPP; Riklin, in : Niggli/Heer/ Wiprächtiger [éd.], Basler Kommentar, Schweizerische Strafprozessordnung, Jugendstrafprozessordnung, Bâle 2011, n. 2 ad art. 356 CPP ; cf., entre autres, CREP 20 janvier 2014/32). Le recours a été interjeté en temps utile (art. 396 al. 1 CPP), devant l’autorité compétente, par une partie qui a qualité pour recourir (art. 382 al. 1 CPP) et dans les formes prescrites (art. 385 al. 1 CPP). Il est donc recevable.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de sorte que le recours relève de la compétence d'un juge unique de la Chambre des recours pénale.</w:t>
      </w:r>
    </w:p>
    <w:p>
      <w:r>
        <w:rPr>
          <w:b/>
        </w:rPr>
        <w:t>E. 2</w:t>
      </w:r>
    </w:p>
    <w:p>
      <w:r>
        <w:t>Le recourant expose que c’est son colocataire qui a réceptionné le recommandé et qu’il n’a pu prendre connaissance de l’ordonnance pénale querellée que six jours plus tard. Il indique en outre n’avoir pas pu se présenter à la journée d’information de la protection civile en raison de l’hospitalisation de sa mère.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b) En l’espèce, il ressort du dossier que l’ordonnance pénale du 13 décembre 2013 a été envoyée le même jour à N.________ par le Ministère public de l’arrondissement de Lausanne par lettre signature et que le pli a été distribué le 16 décembre 2013. L’ordonnance pénale a été régulièrement notifiée à cette date, dans la mesure où c’est une personne vivant dans le même ménage que le recourant qui a retiré l’envoi (art. 85 al. 3 CPP). Le délai de dix jours de l’art. 354 al. 1 CPP est arrivé à échéance le 26 décembre 2013. Ayant été postée le 30 décembre 2013, soit plus de dix jours après la notification de l’ordonnance pénale, l’opposition de N.________ doit ainsi être considérée comme manifestement tardive. C’est donc à bon droit que le Tribunal de police de l’arrondissement de Lausanne l’a déclarée irrecevable. Dans la mesure où l'opposition, qui n'a pas été formée dans le délai légal, n'est pas valable, le recourant ne peut remettre en cause l'ordonnance pénale, qui est assimilée à un jugement entré en force (art. 354 al. 3 CPP).</w:t>
      </w:r>
    </w:p>
    <w:p>
      <w:r>
        <w:rPr>
          <w:b/>
        </w:rPr>
        <w:t>E. 3</w:t>
      </w:r>
    </w:p>
    <w:p>
      <w:r>
        <w:t>En définitive, le recours, manifestement mal fondé, doit être rejeté, sans autres échanges d'écritures (art. 390 al. 2 CPP), et le prononcé attaqué confirmé. Les frais de la procédure de recours, constitués en l'espèce du seul émolument d'arrêt (art. 422 al. 1 CPP), par 450 fr. (art. 20 al. 1 TFJP [Tarif des frais judiciaires pénaux du 28 septembre 2010, RSV 312.03.1]), seront mis à la charge du recourant qui succombe (art. 428 al. 1 CPP). Par ces motifs, Le Juge de la Chambre des recours pénale, statuant à huis clos, prononce : I. Le recours est rejeté. II. Le prononcé du 5 février 2014 est confirmé. III. Les frais d’arrêt, par 450 fr. (quatre cent cinquante francs), sont mis à la charge de N.________. IV. Le présent arrêt est exécutoire. Le juge :               La greffière : Du L'arrêt qui précède, dont la rédaction a été approuvée à huis clos, est notifié, par l'envoi d'une copie complète, à : - M. N.________,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