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473 vom 2. Juni 2014</w:t>
      </w:r>
    </w:p>
    <w:p>
      <w:r>
        <w:t>VD Tribunal cantonal, 2014-06-02, FR</w:t>
      </w:r>
    </w:p>
    <w:p>
      <w:r>
        <w:rPr>
          <w:b/>
        </w:rPr>
        <w:t xml:space="preserve">Quelle: </w:t>
      </w:r>
      <w:r>
        <w:t>https://mcp.opencaselaw.ch/entscheid/vd_findinfo_D_cision___2014___473</w:t>
      </w:r>
    </w:p>
    <w:p>
      <w:r>
        <w:t>FR: VD_FINDINFO Décision / 2014 / 473 du 2 juin 2014</w:t>
      </w:r>
    </w:p>
    <w:p>
      <w:r>
        <w:t>IT: VD_FINDINFO Décision / 2014 / 473 del 2 giugno 2014</w:t>
      </w:r>
    </w:p>
    <w:p>
      <w:pPr>
        <w:pStyle w:val="Heading2"/>
      </w:pPr>
      <w:r>
        <w:t>Regeste</w:t>
      </w:r>
    </w:p>
    <w:p>
      <w:r>
        <w:t>PLAIGNANT, LÉSÉ, ESCROQUERIE | 104 CPP (CH), 115 al. 1 CPP (CH), 118 CPP (CH)</w:t>
      </w:r>
    </w:p>
    <w:p>
      <w:pPr>
        <w:pStyle w:val="Heading2"/>
      </w:pPr>
      <w:r>
        <w:t>Erwägungen</w:t>
      </w:r>
    </w:p>
    <w:p>
      <w:r>
        <w:rPr>
          <w:b/>
        </w:rPr>
        <w:t>E. 1</w:t>
      </w:r>
    </w:p>
    <w:p>
      <w:r>
        <w:t>Interjeté dans le délai légal (art. 396 al. 1 CPP [Code de procédure pénale suisse du 5 octobre 2007, RS 312.0]) contre une décision ministère public (393 al. 1 let. a CPP), par une partie ayant qualité pour recourir (382 al. 1 CPP), et dans les formes prescrites (art. 385 al. 1 CPP), le recours est recevable.</w:t>
      </w:r>
    </w:p>
    <w:p>
      <w:r>
        <w:rPr>
          <w:b/>
        </w:rPr>
        <w:t>E. 2</w:t>
      </w:r>
    </w:p>
    <w:p>
      <w:r>
        <w:t>La recourante soutient en bref qu'elle remplirait les conditions pour se constituer partie plaignante. Un dommage ne serait pas nécessaire pour être lésé au sens de l'art. 115 CPP et le bien juridiquement protégé en l'espèce serait notamment le patrimoine de la recourante, les faits étant potentiellement constitutifs d'escroquerie. L'atteinte serait directe, car la recourante aurait été amenée, par une tromperie astucieuse, à émettre des certificats ou "garanties" engageant sa responsabilité.</w:t>
      </w:r>
    </w:p>
    <w:p>
      <w:r>
        <w:rPr>
          <w:b/>
        </w:rPr>
        <w:t>E. 2.1</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 Kuhn/Jeanneret [éd.], Commentaire romand, Code de procédure pénale suisse, Bâle 2011, n. 6 et 8 ad art. 115 CPP et les arrêts cités; Mazzuchelli/Postizzi, in : Niggli/Heer/Wiprächtiger [éd.], Basler Kommentar, Schweizerische Strafprozessordnung, Jugendstrafprozessordnung, Bâle 2011, n. 21 ad art. 115 CPP; ATF 138 IV 258 c. 2.2 et 2.3 ; TF 1B_553/2012 du 12 novembre 2012 c. 1.2.2; TF 1B_678/2011 du 30 janvier 2012 c. 2.1; TF 1B_230/2011 du 22 juillet 2011 c. 1.3.2; TF 1B_201/2011 du 9 juin 2011 c. 2.1; TF 6B_557/2010 du 9 mars 2011 c. 5.1, cités par Garbarski, Le lésé et la partie plaignante en procédure pénale : état des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Cette définition a pour corollaire que l’existence d’un préjudice de nature civile – par exemple sous la forme d’un dommage patrimonial – est dénuée de pertinence lorsqu’il s’agit de déterminer si une personne revêt ou non la qualité de lésé selon l’art. 115 al. 1 CPP (Garbarski, op. cit., p. 124, et la référence citée). Le Tribunal fédéral a jugé récemment que le statut de lésé ne dépendait pas de la prise effective de conclusions civiles, le législateur conférant à la partie plaignante le pouvoir de se constituer partie à seule fin de soutenir l’action pénale (cf. art. 119 al. 2 let. a CPP ; ATF 139 IV 89 c. 2.2 ; ATF 139 IV 78 c. 3.3.3). Un dommage n’est donc pas nécessaire pour être lésé au sens de l’art. 115 CPP, l’atteinte directe selon cette disposition se rapportant à la violation du droit pénal et non à un dommage (ATF 139 IV 78 c. 3.3.3). La distinction entre violation directe au sens de l'art. 115 CPP ne revêt pas la même signification que l'opposition des notions de dommage direct et indirect telles qu'utilisées dans le domaine de la responsabilité extracontractuelle. A l’art. 115 CPP, le terme "directement" doit se rapporter au droit atteint au travers de l’infraction. La nécessité d’immédiateté a ainsi la fonction de restreindre le cercle des personnes légitimées comme parties plaignantes au sens du droit de la procédure et non l’étendue du dommage réparable (ATF 138 IV 258, JT 2013 IV 214 c. 3.1.1; Garbarski, op. cit., p. 125). Pour déterminer si une personne est lésée par une infraction, il convient par conséquent d'interpréter le texte de la disposition pénale pour déterminer qui est titulaire du bien juridique que celle-ci protège (Perrier, op. cit., n. 8 et 11 ad art. 115 CPP; TF 6B_252/2013 du 14 mai 2013 c. 2.1; cf. CREP 13 septembre 2013/667).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[Code pénal suisse du 21 décembre 1937;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(art. 251 ch. 1 CP). Le faux dans les titres – bien que l'art. 251 CP protège un bien juridique collectif – peut également constituer une atteinte aux intérêts individuels, lorsqu'il est l'un des éléments d'une infraction contre le patrimoine comme l'escroquerie (cf. TF 6B_552/2013 du 9 janvier 2014 c. 1.2; ATF 119 Ia 342 c. 2b). La déclaration de constitution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Camille Perrier, in: Kuhn/ Jeanneret (éd.), op. cit., n. 8 ad art. 115; cf. CREP 17 janvier 2014/19 c. 2c).</w:t>
      </w:r>
    </w:p>
    <w:p>
      <w:r>
        <w:rPr>
          <w:b/>
        </w:rPr>
        <w:t>E. 2.2</w:t>
      </w:r>
    </w:p>
    <w:p>
      <w:r>
        <w:t>En l'espèce, à l'appui de son ordonnance, le ministère public a en bref considéré que la recourante n'avait subi aucun dommage concret et que même dans l'hypothèse où la responsabilité contractuelle de la recourante serait reconnue à l'issue de la procédure d'arbitrage pendante, il ne serait pas certain qu'un lien de causalité directe puisse être établi entre l'indemnisation due par la recourante et l'activité délictueuse reprochée aux prévenus. Il est vrai que la recourante se trouve exposée à un dommage en raison de l'éventuelle responsabilité contractuelle qui fait l'objet de la procédure arbitrale initiée. A première vue, sa situation se rapproche ainsi de celle d'une société d'assurance, qui ne serait touchée que par ricochet, c'est-à-dire indirectement, par les actes délictueux, tandis que seraient seuls lésés directs les établissement bancaires. Toutefois, le ministère public reconnaît lui-même (cf. c. 3 de l'ordonnance attaquée) que la recourante a été amenée à émettre des documents engageant sa responsabilité sur la base de pièces, le cas échéant assimilables à des titres, qui sont aujourd'hui soupçonnées de faux. La recourante aurait été conduite à émettre des documents erronés en se fondant à tort sur de fausses informations transmises par les entités du groupe dont faisait partie C.________ SA ou avec leur complicité (ibidem). Ainsi présentés, ces faits pourraient être constitutifs d'escroquerie et de faux dans les titres. Dans cette hypothèse, le bien juridique directement touché par la commission de ces infractions serait principalement le patrimoine de la recourante, qui aurait été astucieusement déterminée à des actes préjudiciables à ses intérêts pécuniaires, étant rappelé que la mise en péril de ces intérêts suffit en principe (cf. Dupuis et al., Code pénal, Petit commentaire, Bâle 2012, n. 30 ad art. 146 CP et les références citées). En se prévalant de cette version des faits, la plaignante peut se prétendre lésée au sens de l'art. 115 CPP et par conséquent demander à être admise comme partie plaignante indépendamment de l'existence ou non d'un préjudice de nature civile. Les arguments développés par les parties concluant au rejet de l'appel sont prématurés, en ce sens qu'ils ne peuvent conduire à exclure la recourante de la procédure. Il n'est ainsi pas déterminant que la version des faits évoquée plus haut soit contestée par la prévenue X.________, qui soutient que la recourante n'a pu être trompée que par l'entité russe du groupe dont celle-ci fait partie et non pas par C.________ SA ou ses organes. De même, le fait que les parties s'opposant à l'admission de la recourante comme partie plaignante reprochent à cette dernière des manquements dans l'exécution de ses engagements contractuels n'est certes pas dénué de pertinence quant au fond de l'affaire, mais n'est pas décisif au stade de la question de l'admission de la recourante en qualité de partie plaignante, puisqu'il faut en principe se fonder sur les allégués de celui qui se prétend lésé pour déterminer s'il peut intervenir dans la procédure. Ainsi que le relève à juste titre la recourante, toute autre position reviendrait à lui opposer des éléments du dossier alors qu'elle n'a même pas accès à ce dernier.</w:t>
      </w:r>
    </w:p>
    <w:p>
      <w:r>
        <w:rPr>
          <w:b/>
        </w:rPr>
        <w:t>E. 3</w:t>
      </w:r>
    </w:p>
    <w:p>
      <w:r>
        <w:t>Au vu de ce qui précède, le recours sera admis et l'ordonnance attaquée réformée en ce sens que la qualité de partie plaignante demanderesse au pénal et au civil est accordée à la recourante. Les frais de la procédure de recours, constitués uniquement de l'émolument d'arrêt, par 990 fr. (art. 20 al. 1 TFJP [Tarif des frais judiciaires pénaux du 28 septembre 2010, RSV 312.03.1]), seront mis à la charge des parties intimées qui ont conclu au rejet du recours et qui succombent (art. 428 al. 1 CPP), à savoir X.________, E.________ et la banque G.________ SA, à parts égales, soit 330 fr. chacun, et solidairement entre eux (art. 418 al. 1 et 2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3 mars 2014 est réformée en ce sens que la qualité de partie plaignante demanderesse au pénal et au civil est accordée à B.________ SA. III. Les frais de la procédure de recours, par 990 fr., sont mis à la charge d'X.________, d'E.________ et de G.________ SA à parts égales, soit 330 fr. (trois cent trente francs) chacun, et solidairement entre eux. IV. Le présent arrêt est exécutoire. Le président :               Le greffier : Du L'arrêt qui précède, dont la rédaction a été approuvée à huis clos, est notifié, par l'envoi d'une copie complète, à : - M. Gilles Monnier, avocat (pour B.________ SA), - M. Loïc Parein, avocat (pour X.________), - M. Stefan Graf, avocat (pour E.________), - M. Grégoire Mangeat, avocat (pour G.________ SA), - M. Michel Bergmann, avocat (pour J.________), - Q.________,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