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466 vom 2. Juni 2014</w:t>
      </w:r>
    </w:p>
    <w:p>
      <w:r>
        <w:t>VD Tribunal cantonal, 2014-06-02, FR</w:t>
      </w:r>
    </w:p>
    <w:p>
      <w:r>
        <w:rPr>
          <w:b/>
        </w:rPr>
        <w:t xml:space="preserve">Quelle: </w:t>
      </w:r>
      <w:r>
        <w:t>https://mcp.opencaselaw.ch/entscheid/vd_findinfo_D_cision___2014___466</w:t>
      </w:r>
    </w:p>
    <w:p>
      <w:r>
        <w:t>FR: VD_FINDINFO Décision / 2014 / 466 du 2 juin 2014</w:t>
      </w:r>
    </w:p>
    <w:p>
      <w:r>
        <w:t>IT: VD_FINDINFO Décision / 2014 / 466 del 2 giugno 2014</w:t>
      </w:r>
    </w:p>
    <w:p>
      <w:pPr>
        <w:pStyle w:val="Heading2"/>
      </w:pPr>
      <w:r>
        <w:t>Regeste</w:t>
      </w:r>
    </w:p>
    <w:p>
      <w:r>
        <w:t>RISQUE DE RÉCIDIVE, DÉTENTION PROVISOIRE | 221 al. 1 let. c CPP (CH)</w:t>
      </w:r>
    </w:p>
    <w:p>
      <w:pPr>
        <w:pStyle w:val="Heading2"/>
      </w:pPr>
      <w:r>
        <w:t>Erwägungen</w:t>
      </w:r>
    </w:p>
    <w:p>
      <w:r>
        <w:rPr>
          <w:b/>
        </w:rPr>
        <w:t>E. 1</w:t>
      </w:r>
    </w:p>
    <w:p>
      <w:r>
        <w:t>Le recours a été interjeté dans le délai légal (art. 396 al. 1 CPP [Code de procédure pénale suisse du 5 octobre 2007; RS 312.0]) contre une décision du Tribunal des mesures de contrainte dans un cas prévu par le CPP (art. 393 al. 1 let. c et 222 CPP), par le détenu qui a qualité pour recourir (art. 382 al. 1 CPP). Il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compte tenu des éléments au dossier, il existe une présomption suffisamment sérieuse de culpabilité à l’encontre de F.________, ce que ce dernier ne conteste d’ailleurs pas.</w:t>
      </w:r>
    </w:p>
    <w:p>
      <w:r>
        <w:rPr>
          <w:b/>
        </w:rPr>
        <w:t>E. 3</w:t>
      </w:r>
    </w:p>
    <w:p>
      <w:r>
        <w:t>Le recourant conteste en revanche l’existence d’un risque de fuite (art. 221 al. 1 let. a CPP). Il soutient que le versement de sûretés à hauteur de 10'000 fr., somme qui aurait pu être constituée par les membres de sa famille en Suisse, en France et en Italie, en mains du Procureur serait à même de parer efficacement au risque de fuite. Cette question peut toutefois être laissée ouverte dans la mesure où, comme on le verra ci-dessous, le risque de réitération est manifestement réalisé.</w:t>
      </w:r>
    </w:p>
    <w:p>
      <w:r>
        <w:rPr>
          <w:b/>
        </w:rPr>
        <w:t>E. 4</w:t>
      </w:r>
    </w:p>
    <w:p>
      <w:r>
        <w:t>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il ressort de l’extrait de son casier judiciaire que le recourant a été condamné en Suisse à sept reprises depuis le 23 août 2005, notamment pour des vols, des agressions et des lésions corporelles. Il a également été condamné le 14 janvier 2013 par défaut par le Tribunal de la Broye (FR) à une peine privative de liberté de 36 mois, sous déduction de 34 jours de détention provisoire. Une requête de relief ayant été présentée par le recourant, une nouvelle audience de jugement a été agendée. Malgré cela, le recourant n’a pas hésité à récidiver dès son entrée sur le territoire suisse. De surcroît, le fait que le recourant ait séjourné en Suisse durant dix ans avec son épouse et ses enfants ou le fait que des membres de sa famille y résident ne l’ont incontestablement pas empêché de se consacrer à ses activités délictueuses. Le pronostic quant au comportement futur du recourant est ainsi clairement défavorable. Dans ces conditions, le risque de réitération est manifestement réalisé et les mesures de substitution proposées sont inefficaces pour parer au risque retenu.</w:t>
      </w:r>
    </w:p>
    <w:p>
      <w:r>
        <w:rPr>
          <w:b/>
        </w:rPr>
        <w:t>E. 5</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F.________ est détenu depuis le 28 février 2014, soit depuis un peu plus de trois mois. Compte tenu des actes qui lui sont reprochés et de ses antécédents, le recourant s'expose à une peine privative de liberté d’une durée manifestement supérieure à celle de la détention provisoire subie à ce jour. Au vu de ces éléments, le principe de proportionnalité de la détention provisoire demeure respecté.</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L’ordonnance du 20 mai 2014 est confirmée. III. Les frais d'arrêt, par 660 fr. (six cent soixante francs), sont mis à la charge de F.________. IV. Le présent arrêt est exécutoire. Le président :               La greffière : Du L'arrêt qui précède, dont la rédaction a été approuvée à huis clos, est notifié, par l'envoi d'une copie complète, à : - M. Leonardo Delco, avocat (pour F.________),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