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464 vom 17. März 2014</w:t>
      </w:r>
    </w:p>
    <w:p>
      <w:r>
        <w:t>VD Tribunal cantonal, 2014-03-17, FR</w:t>
      </w:r>
    </w:p>
    <w:p>
      <w:r>
        <w:rPr>
          <w:b/>
        </w:rPr>
        <w:t xml:space="preserve">Quelle: </w:t>
      </w:r>
      <w:r>
        <w:t>https://mcp.opencaselaw.ch/entscheid/vd_findinfo_D_cision___2014___464</w:t>
      </w:r>
    </w:p>
    <w:p>
      <w:r>
        <w:t>FR: VD_FINDINFO Décision / 2014 / 464 du 17 mars 2014</w:t>
      </w:r>
    </w:p>
    <w:p>
      <w:r>
        <w:t>IT: VD_FINDINFO Décision / 2014 / 464 del 17 marzo 2014</w:t>
      </w:r>
    </w:p>
    <w:p>
      <w:pPr>
        <w:pStyle w:val="Heading2"/>
      </w:pPr>
      <w:r>
        <w:t>Regeste</w:t>
      </w:r>
    </w:p>
    <w:p>
      <w:r>
        <w:t>SUSPENSION DE LA PROCÉDURE | 314 al. 1 let. b CPP (CH), 393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CREP 16 janvier 2013/67; CREP 20 février 2014/142). En l’occurrence, interjeté en temps utile devant l’autorité compétente, par une partie ayant la qualité pour recourir (art. 382 al. 1 CPP) et satisfaisant aux conditions de forme (art. 385 al. 1 CP), le recours est recevable en tant qu’il est dirigé contre l’ordonnance de suspension.</w:t>
      </w:r>
    </w:p>
    <w:p>
      <w:r>
        <w:rPr>
          <w:b/>
        </w:rPr>
        <w:t>E. 2</w:t>
      </w:r>
    </w:p>
    <w:p>
      <w:r>
        <w:t>a) Le recourant conteste la suspension de procédure ordonnée par le Ministère public. Il soutient qu’il était indispensable d’éclaircir la question d’un éventuel faux témoignage avant qu’il ne soit statué dans l’affaire PE12.000180 KBE dirigée contre lui, notamment pour des motifs d’économie de procédure. Selon le recourant, le procureur aurait donc dû suspendre la procédure pénale PE12.000180 KBE jusqu’à droit connu sur la procédure pénale PE14.001254-KBE dirigée contre C.R.________ et non l’inverse. b) 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Cornu, in : Kuhn/Jeanneret (éd.), Commentaire romand, Code de procédure pénale, Bâle 2011, n. 13 ad art. 314 CPP).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 3.1; Cornu, op. cit., n. 13 ad art. 314 CPP). c) En l’espèce, on relèvera à titre préalable que si le recourant entendait contester le refus du procureur de suspendre la procédure pénale n° PE12.000180-KBE dirigée contre lui, il lui appartenait de recourir contre la décision du 24 janvier 2014, par laquelle le procureur a rejeté la requête du recourant tendant à la suspension de cette procédure. Cela étant, le recours d’A.________ est dirigé contre l’ordonnance de suspension du 24 janvier 2014 portant sur la procédure PE14.001254-KBE, de sorte qu’il convient uniquement d’examiner si la suspension de cette dernière, dirigée contre C.R.________ pour diffamation et faux témoignage est, ou non justifiée. A cette question, il convient de répondre par l’affirmative. En effet, le prétendu faux témoignage de C.R.________ porte sur les mêmes faits que ceux visés par la plainte pénale d’A.R.________ et ces faits peuvent être élucidés lors de l’audience du Tribunal de police, devant lequel le recourant a été renvoyé. C’est donc à juste titre que le procureur a ordonné la suspension de la procédure pénale n° PE14.001254-KBE.</w:t>
      </w:r>
    </w:p>
    <w:p>
      <w:r>
        <w:rPr>
          <w:b/>
        </w:rPr>
        <w:t>E. 3</w:t>
      </w:r>
    </w:p>
    <w:p>
      <w:r>
        <w:t>Il résulte de ce qui précède que le recours doit être rejeté et l’ordonnance du 24 janvier 2014 confirmée. Les frais de la procédure de recours, constitués du seul émolument d’arrêt, par 550 fr. (art. 20 al. 1 TFJP [Tarif des frais judiciaires pénaux du 28 septembre 2010, RSV 312.03.1]), seront mis la charge du recourant, qui succombe (art. 428 al. 1 CPP). Par ces motifs, la Chambre des recours pénale, statuant à huis clos, prononce : I. Le recours est rejeté. II. L’ordonnance du 24 janvier 2014 est confirmée. III. Les frais d’arrêt, par 550 fr. (cinq cent cinquante francs), sont mis à la charge d’A.________. IV. Le présent arrêt est exécutoire. Le président :               La greffière : Du L'arrêt qui précède, dont la rédaction a été approuvée à huis clos, est notifié, par l'envoi d'une copie complète, à : - M. Fabien Mingard, avocat (pour A.________), - Mme C.R.________,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