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459 vom 13. Mai 2014</w:t>
      </w:r>
    </w:p>
    <w:p>
      <w:r>
        <w:t>VD Tribunal cantonal, 2014-05-13, FR</w:t>
      </w:r>
    </w:p>
    <w:p>
      <w:r>
        <w:rPr>
          <w:b/>
        </w:rPr>
        <w:t xml:space="preserve">Quelle: </w:t>
      </w:r>
      <w:r>
        <w:t>https://mcp.opencaselaw.ch/entscheid/vd_findinfo_D_cision___2014___459</w:t>
      </w:r>
    </w:p>
    <w:p>
      <w:r>
        <w:t>FR: VD_FINDINFO Décision / 2014 / 459 du 13 mai 2014</w:t>
      </w:r>
    </w:p>
    <w:p>
      <w:r>
        <w:t>IT: VD_FINDINFO Décision / 2014 / 459 del 13 maggio 2014</w:t>
      </w:r>
    </w:p>
    <w:p>
      <w:pPr>
        <w:pStyle w:val="Heading2"/>
      </w:pPr>
      <w:r>
        <w:t>Regeste</w:t>
      </w:r>
    </w:p>
    <w:p>
      <w:r>
        <w:t>ASSISTANCE JUDICIAIRE, RECOURS{CPP}, PRÉSIDENT | 136 CPP (CH)</w:t>
      </w:r>
    </w:p>
    <w:p>
      <w:pPr>
        <w:pStyle w:val="Heading2"/>
      </w:pPr>
      <w:r>
        <w:t>Erwägungen</w:t>
      </w:r>
    </w:p>
    <w:p>
      <w:r>
        <w:rPr>
          <w:b/>
        </w:rPr>
        <w:t>E. 1</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Le législateur a ainsi sciemment limité l'octroi de l'assistance judiciaire aux cas où le plaignant peut faire valoir des prétentions civiles (TF 1B_254/2013 du 27 septembre 2013 c. 2.1.1). L'autorité appelée à statuer sur la requête d'assistance judiciaire doit examiner de manière sommaire si les faits allégués par le requérant et les infractions dénoncées sont susceptibles de lui créer un dommage dont il pourrait demander la réparation dans le cadre de la procédure pénale (TF 1B_254/2013 du 27 septembre 2013 c. 2.1.1). Si tel n’est pas le cas, ou si les chances de succès d’éventuelles prétentions civiles apparaissent manifestement moindres que les risques d’échec, de sorte qu’une partie disposant des ressources financières nécessaires ne se lancerait pas dans le procès après une analyse raisonnable (cf. ATF 133 III 614 c. 5 p. 616; 129 I 129 c. 2.3.1 p. 135 s.), l’assistance judiciaire doit être refusée. b) En l’espèce, la recourante n’a pris aucunes conclusions civiles (cf. art. 122 ss CPP) ni annoncé son intention de prendre de telles conclusions. Elle ne prétendait d’ailleurs pas que le comportement – selon elle constitutif de violation de domicile, tel que protégé par le droit pénal – qu’elle reproche à sa bailleresse contre laquelle elle a déposé plainte, soit d’être entrée sans droit dans l’appartement qu’elle lui loue, alors qu’elle était en train de préparer le déménagement, lui aurait causé un dommage dont elle pourrait demander la réparation par une action civile exercée par adhésion à la procédure pénale. Au surplus, d’éventuelles conclusions en réparation du tort moral apparaîtraient vouées à l’échec au sens de l’art. 136 al. 1 let. b CPP. En effet, l’art. 49 CO, aux termes duquel celui qui subit une atteinte illicite à sa personnalité a droit à une somme d'argent à titre de réparation morale, pour autant que la gravité de l'atteinte le justifie et que l'auteur ne lui ait pas donné satisfaction autrement, exige notamment que l’atteinte dépasse la mesure de ce qu’une personne doit normalement supporter, que ce soit sur le plan de la durée des souffrances ou de leur intensité (Bucher, Personnes physiques et protection de la personnalité, 4 e éd., Bâle, Genève, Munich 1999, n. 603; Tercier, Le nouveau droit de la personnalité, Zurich 1984, n. 2047 ss; Deschenaux et Tercier, La responsabilité civile, 2 e éd., Berne 1982, n. 24 ss). Or en l’espèce, l’atteinte alléguée n’atteint manifestement pas le seuil de gravité qui pourrait justifier l’allocation d’une indemnité pour tort moral.</w:t>
      </w:r>
    </w:p>
    <w:p>
      <w:r>
        <w:rPr>
          <w:b/>
        </w:rPr>
        <w:t>E. 2</w:t>
      </w:r>
    </w:p>
    <w:p>
      <w:r>
        <w:t>Il résulte de ce qui précède que la requête d’assistance judiciaire présentée par T.________ doit être rejetée. Par conséquent, un ultime délai de dix jours dès la notification de la présente ordonnance doit lui être imparti pour effectuer un dépôt de 440 fr. à titre de sûretés pour les frais qui pourraient être mis à sa charge en cas de rejet ou d’irrecevabilité du recours. Si les sûretés ne sont pas fournies dans le délai imparti, la Chambre des recours pénale n’entrera pas en matière sur le recours (art. 383 al. 2 CPP). Les frais de la présente ordonnance, fixés à 540 fr. (art. 20 al. 1 TFJP [tarif des frais judiciaires pénaux; RSV 312.03.1]), suivront le sort des frais de la procédure de recours (art. 421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