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457 vom 16. Mai 2014</w:t>
      </w:r>
    </w:p>
    <w:p>
      <w:r>
        <w:t>VD Tribunal cantonal, 2014-05-16, FR</w:t>
      </w:r>
    </w:p>
    <w:p>
      <w:r>
        <w:rPr>
          <w:b/>
        </w:rPr>
        <w:t xml:space="preserve">Quelle: </w:t>
      </w:r>
      <w:r>
        <w:t>https://mcp.opencaselaw.ch/entscheid/vd_findinfo_D_cision___2014___457</w:t>
      </w:r>
    </w:p>
    <w:p>
      <w:r>
        <w:t>FR: VD_FINDINFO Décision / 2014 / 457 du 16 mai 2014</w:t>
      </w:r>
    </w:p>
    <w:p>
      <w:r>
        <w:t>IT: VD_FINDINFO Décision / 2014 / 457 del 16 maggio 2014</w:t>
      </w:r>
    </w:p>
    <w:p>
      <w:pPr>
        <w:pStyle w:val="Heading2"/>
      </w:pPr>
      <w:r>
        <w:t>Regeste</w:t>
      </w:r>
    </w:p>
    <w:p>
      <w:r>
        <w:t>DÉTENTION PROVISOIRE, RISQUE DE FUITE | 221 al. 1 let. a CPP (CH), 233 CPP (CH)</w:t>
      </w:r>
    </w:p>
    <w:p>
      <w:pPr>
        <w:pStyle w:val="Heading2"/>
      </w:pPr>
      <w:r>
        <w:t>Erwägungen</w:t>
      </w:r>
    </w:p>
    <w:p>
      <w:r>
        <w:rPr>
          <w:b/>
        </w:rPr>
        <w:t>E. 1</w:t>
      </w:r>
    </w:p>
    <w:p>
      <w:r>
        <w:t>Aux termes de l'art. 233 CPP (Code de procédure pénale suisse du 5 octobre 2007, RS 312.0), la direction de la procédure de la juridiction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ad. art. 233, ch. 4). Déposée à la suite de l'annonce d'appel, la requête de F.________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(arrêt 1B_43/2013 du 1er mars 2013 c. 4.1 et les références citées). Selon la jurisprudence, le juge de la détention - afin d'éviter qu'il n'empiète sur les compétences du juge du fond - ne tient pas compte de la possibilité éventuelle de l'octroi, par l'autorité de jugement, d'un sursis (ATF 133 I 270 c. 3.4.3 p. 282) ou d'une libération conditionnelle (ATF 124 I 208 c.</w:t>
      </w:r>
    </w:p>
    <w:p>
      <w:r>
        <w:rPr>
          <w:b/>
        </w:rPr>
        <w:t>E. 2.2</w:t>
      </w:r>
    </w:p>
    <w:p>
      <w:r>
        <w:t>En l'occurrence, le Tribunal de police de l'arrondissement de Lausanne a condamné F.________ pour l'essentiel des actes qui lui étaient reprochés, estimant par ailleurs sa culpabilité importante. Le prévenu ne conteste pas son implication dans les cas retenus à sa charge. Il existe donc des soupçons suffisants au sens de l'art. 221 CPP.</w:t>
      </w:r>
    </w:p>
    <w:p>
      <w:r>
        <w:rPr>
          <w:b/>
        </w:rPr>
        <w:t>E. 2.3</w:t>
      </w:r>
    </w:p>
    <w:p>
      <w:r>
        <w:t>En l'espèce, le tribunal de police a maintenu F.________ en détention pour des motifs de sûreté, en raison d'un risque de fuite, le prévenu ne disposant d'aucune attache en Suisse. Le risque de fuite est réputé réalisé lorsque les circonstances concrètes font apparaître que le prévenu tentera vraisemblablement de se soustraire à la poursuite judiciaire ou à l'exécution d'une peine (ATF 106 Ia 404, rés. JT 1982 IV 96). L'absence d'attache du prévenu en Suisse est patente, l'intéressé n'ayant ni liens, ni travail dans notre pays. Il ne reçoit pas de visites en prison et n'a de contact avec l'extérieur que par téléphone, avec ses proches domiciliés au Chili. F.________ dit d'ailleurs lui-même, dans sa requête, qu'il compte quitter immédiatement notre pays à sa libération pour rejoindre sa famille et se rendre auprès de son fils malade au Chili. Il découle sans aucun doute de ces circonstances le risque que le prévenu se soustraie à l'exécution de sa peine. A cela s'ajoute le fait que les conditions d'une libération conditionnelle ne semblent en l'état pas réalisées, contrairement à ce que prétend le requérant. En effet, le rapport émis ce jour par la direction de la Prison du Bois-Mermet indique que des analyses effectuées à fin avril 2014 ont révélé la présence de THC dans les urines de F.________, des analyses complémentaires étant encore en cours à ce sujet. Cette circonstance exclut à elle-seule, à ce stade, de retenir l'existence d'un bon comportement en prison, qui permettrait d'envisager l'octroi d'une libération conditionnelle.</w:t>
      </w:r>
    </w:p>
    <w:p>
      <w:r>
        <w:rPr>
          <w:b/>
        </w:rPr>
        <w:t>E. 2.4</w:t>
      </w:r>
    </w:p>
    <w:p>
      <w:r>
        <w:t>Il convient de relever en dernier lieu que le principe de la proportionnalité des intérêts en présence est respecté, compte tenu de la gravité des infractions reprochées au requérant, de sa culpabilité et de la durée du solde de la peine à laquelle il a été condamné (ATF 133 I 168 c. 4.1 et les arrêts cités). 3. En définitive, le maintien en détention de F.________ pour des motifs de sûreté se justifie et sa requête tendant à sa mise en liberté immédiate doit être rejetée. Il sera statué sur les frais de la présente décision à l'issue de la cause au fond.</w:t>
      </w:r>
    </w:p>
    <w:p>
      <w:r>
        <w:rPr>
          <w:b/>
        </w:rPr>
        <w:t>E. 6</w:t>
      </w:r>
    </w:p>
    <w:p>
      <w:r>
        <w:t>p. 215). S'agissant de la libération conditionnelle, on ne saurait en effet exiger du juge de la détention qu'il suppute la durée de la peine pouvant éventuellement être prononcée. En outre, l'octroi de la libération conditionnelle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1B_641/2011 du 25 novembre 2011 c. 3.1; 1B_122/2009 du 10 juin 2009 c. 2.3) : tel peut être le cas si le prévenu, après avoir été condamné en première instance, est en détention préventive en attendant l'issue du recours qu'il a formé contre sa condamnation (arrêts 1B_82/2008 du 7 avril 2008 c. 4.1; 1P.27/2007 du 26 janvier 2007 c. 3.5.2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