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454 vom 27. Mai 2014</w:t>
      </w:r>
    </w:p>
    <w:p>
      <w:r>
        <w:t>VD Tribunal cantonal, 2014-05-27, FR</w:t>
      </w:r>
    </w:p>
    <w:p>
      <w:r>
        <w:rPr>
          <w:b/>
        </w:rPr>
        <w:t xml:space="preserve">Quelle: </w:t>
      </w:r>
      <w:r>
        <w:t>https://mcp.opencaselaw.ch/entscheid/vd_findinfo_D_cision___2014___454</w:t>
      </w:r>
    </w:p>
    <w:p>
      <w:r>
        <w:t>FR: VD_FINDINFO Décision / 2014 / 454 du 27 mai 2014</w:t>
      </w:r>
    </w:p>
    <w:p>
      <w:r>
        <w:t>IT: VD_FINDINFO Décision / 2014 / 454 del 27 maggio 2014</w:t>
      </w:r>
    </w:p>
    <w:p>
      <w:pPr>
        <w:pStyle w:val="Heading2"/>
      </w:pPr>
      <w:r>
        <w:t>Regeste</w:t>
      </w:r>
    </w:p>
    <w:p>
      <w:r>
        <w:t>RISQUE DE FUITE, PROPORTIONNALITÉ, DÉTENTION PROVISOIRE, EXÉCUTION ANTICIPÉE DES PEINES ET DES MESURES | 221 al. 1 let. a CPP (CH), 228 CPP (CH), 393 al. 1 let. c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 173.01]). b) En l’espèce, le recours, qui a été interjeté en temps utile devant l’autorité compétente et satisfait aux conditions de forme posées par l’art. 385 al. 1 CPP, est recevable.</w:t>
      </w:r>
    </w:p>
    <w:p>
      <w:r>
        <w:rPr>
          <w:b/>
        </w:rPr>
        <w:t>E. 2</w:t>
      </w:r>
    </w:p>
    <w:p>
      <w:r>
        <w:t>a) La détention provisoire s’achève lorsque le prévenu commence à purger sa peine privative de liberté de manière anticipée (art. 220 al. 1, 2 e hypothèse CPP). Lors de l’exécution anticipée de la peine, il ne s’agit donc plus de détention provisoire ou de détention pour des motifs de sûreté (Härri, in Niggli/Heer/Wiprächtiger (éd.), Basler Kommentar, Schweizerische Strafprozessordnung, 2011, n. 2 ad art. 236 CPP). Selon la jurisprudence, l’art. 227 CPP (demande de prolongation de la détention provisoire) ne s’applique pas lorsqu’une personne qui se trouvait précédemment en détention provisoire entame l’exécution anticipée de sa peine (ATF 137 IV 177 c. 2.1). La procédure pénale suisse ne prévoit pas que le Tribunal des mesure de contrainte doive, de manière analogue, vérifier d’office périodiquement que les conditions de la détention sont encore remplies, après que le prévenu a commencé l’exécution anticipée de la peine (ATF 137 IV 177 c. 2.1), l’art. 236 CPP ne comportant aucun renvoi à l’art. 227 al. 7 CPP. Toutefois, le prévenu bénéficiant de ce régime conserve la possibilité de solliciter en tout temps sa mise en liberté en vertu des art. 31 al. 4 Cst. (Constitution fédérale de la Confédération suisse du 18 avril 1999, RS 101) et 5 ch. 4 CEDH (Convention du 4 novembre 1950 de sauvegarde des droits de l’homme et des libertés fondamentales, RS 0.101) (TF 1B_81/2013 du 14 mars 2013 c. 4.1, et les références citées). Dans cette hypothèse, il convient de suivre la procédure prévue à l’art. 230 CPP, applicable par analogie (CREP 2 septembre 2013/515). b) En l’espèce, la prévenue bénéficiait du régime d’exécution anticipée de peine depuis le 26 novembre 2013. C’est donc bien au Tribunal des mesures de contrainte qu’il revenait de statuer sur la demande de mise en liberté présentée par la recourante, dès lors que la direction de la procédure du Tribunal de première instance n’entendait pas y donner une suite favorable.</w:t>
      </w:r>
    </w:p>
    <w:p>
      <w:r>
        <w:rPr>
          <w:b/>
        </w:rPr>
        <w:t>E. 3</w:t>
      </w:r>
    </w:p>
    <w:p>
      <w:r>
        <w:t>a) La poursuite de la détention sous la forme de l'exécution anticipée de la peine présuppose l'existence d'un motif de détention provisoire particulier. Or, une mesure de détention provisoire n'est compatible avec la liberté personnelle (art. 10 al. 2 Cst. [Constitution fédérale de la Confédération suisse du 18 avril 1999; RS 101] et 5 CEDH [Convention du 4 novembre 1950 de sauvegarde des droits de l'homme et des libertés fondamentales; RS 0.101])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 ATF 139 IV 191). b) En l’espèce, la recourante ne conteste à juste titre pas l’existence de présomptions suffisantes de culpabilité à son encontre.</w:t>
      </w:r>
    </w:p>
    <w:p>
      <w:r>
        <w:rPr>
          <w:b/>
        </w:rPr>
        <w:t>E. 4</w:t>
      </w:r>
    </w:p>
    <w:p>
      <w:r>
        <w:t>L’ordonnance attaquée se fonde notamment sur le risque de fuite (art. 221 al. 1 let. a CPP).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b) En l’espèce, la recourante, ressortissante roumaine, n’a ni activité lucrative, ni domicile en Suisse. Elle a par ailleurs exprimé la volonté de vouloir rentrer dans son pays. Il existe dès lors un risque concret que K.________ tente de se soustraire aux poursuites pénales en cas de libération. Au vu de ces éléments, le risque de fuite apparaît non seulement possible, mais également probable (TF 1B_414/2011 du 5 septembre 2011 c. 3.1). La constatation de l'existence d'un risque de fuite dispense d'examiner si le risque de réitération au sens des art. 221 al. 1 let. c CPP, tel que retenu par le Tribunal des mesures de contraintes, est realisé (TF 1B_249/2011 du 7 juin 2011 c. 2.4).</w:t>
      </w:r>
    </w:p>
    <w:p>
      <w:r>
        <w:rPr>
          <w:b/>
        </w:rPr>
        <w:t>E. 5</w:t>
      </w:r>
    </w:p>
    <w:p>
      <w:r>
        <w:t>a) Concernant le respect du principe de la proportionnalité, il y a lieu de relever que cette question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K.________ est placée en détention avant jugement depuis le 27 avril 2013, soit depuis treize mois. Les débats ayant été fixés au 13 août prochain, elle aura passé un peu moins de seize mois en détention, si elle doit y être maintenue. Au vu de la gravité des infractions retenues contre elle, soit notamment le vol en bande et par métier et le blanchiment d’argent, ainsi que la longue durée durant laquelle les prévenus ont agi et le butin conséquent qu’ils ont amassé, la durée de la détention de la recourante demeure proportionnée à la peine à laquelle elle s'expose.</w:t>
      </w:r>
    </w:p>
    <w:p>
      <w:r>
        <w:rPr>
          <w:b/>
        </w:rPr>
        <w:t>E. 6</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770 fr. (art. 20 al. 1 TFJP [tarif des frais judiciaires pénaux; RSV 312.03.1]), et des frais imputables à la défense d’office (art. 422 al. 1 et 2 let. a CPP), fixés à 540 fr., plus la TVA par 43 fr. 20, soit au total 583 fr. 20,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L’ordonnance du 20 mai 2014 est confirmée. III. L’indemnité allouée au défenseur d’office de K.________ est fixée à 583 fr. 20 (cinq cent huitante-trois francs et vingt centimes). IV. Les frais du présent arrêt, par 770 fr. (sept cent septante francs), ainsi que l’indemnité due au défenseur d’office de K.________, par 583 fr. 20 (cinq cent huitante-trois francs et vingt centimes), sont mis à la charge de cette dernière. V. Le remboursement à l'Etat de l'indemnité allouée au chiffre III ci-dessus ne sera exigible que pour autant que la situation économique de K.________ se soit améliorée. IV. Le présent arrêt est exécutoire. Le président :               La greffière : Du L'arrêt qui précède, dont la rédaction a été approuvée à huis clos, est notifié, par l'envoi d'une copie complète, à : - M. Rolf Ditesheim, avocat (pour K.________), - Ministère public central ; et communiqué à : - Mme la Présidente du Tribunal des mesures de contrainte, - M. le Président du Tribunal d’arrondissement de Lausanne,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