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446 vom 30. April 2014</w:t>
      </w:r>
    </w:p>
    <w:p>
      <w:r>
        <w:t>VD Tribunal cantonal, 2014-04-30, FR</w:t>
      </w:r>
    </w:p>
    <w:p>
      <w:r>
        <w:rPr>
          <w:b/>
        </w:rPr>
        <w:t xml:space="preserve">Quelle: </w:t>
      </w:r>
      <w:r>
        <w:t>https://mcp.opencaselaw.ch/entscheid/vd_findinfo_D_cision___2014___446</w:t>
      </w:r>
    </w:p>
    <w:p>
      <w:r>
        <w:t>FR: VD_FINDINFO Décision / 2014 / 446 du 30 avril 2014</w:t>
      </w:r>
    </w:p>
    <w:p>
      <w:r>
        <w:t>IT: VD_FINDINFO Décision / 2014 / 446 del 30 aprile 2014</w:t>
      </w:r>
    </w:p>
    <w:p>
      <w:pPr>
        <w:pStyle w:val="Heading2"/>
      </w:pPr>
      <w:r>
        <w:t>Regeste</w:t>
      </w:r>
    </w:p>
    <w:p>
      <w:r>
        <w:t>CLASSEMENT DE LA PROCÉDURE, ADMISSION DE LA DEMANDE, IN DUBIO PRO DURIORE | 132 CPP (CH), 319 al. 1 CPP (CH), 393 al. 1 let. a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w:t>
      </w:r>
    </w:p>
    <w:p>
      <w:r>
        <w:rPr>
          <w:b/>
        </w:rPr>
        <w:t>E. 2</w:t>
      </w:r>
    </w:p>
    <w:p>
      <w:r>
        <w:t>a) Le recourant fait grief à la Procureure d’avoir ordonné le classement de la procédure en dépit d’éléments clairs figurant au dossier susceptibles de démontrer, objectivement, la réalisation des infractions d’utilisation frauduleuse d’un ordinateur, de faux dans les titres et de vol. La Procureure aurait ainsi violé le principe « in dubio pro duriore » qui commande de poursuivre l’accusation lorsqu’il subsiste des doutes. Selon le recourant et contrairement à ce que soutient la prévenue, au moment des faits, il avait mis un terme à sa relation sentimentale avec U.________, de sorte qu’il n’était absolument pas d’accord qu’elle utilise ses cartes bancaires. Il en veut pour preuve les courriers de son avocat la sommant de quitter son appartement sis à Pully. Il soutient en outre qu’U.________ aurait expressément admis avoir subtilisé des biens lui appartenant, ce en violation d’une convention signée le 31 mai 2010, ratifiée par le Président du Tribunal d’arrondissement de l’Est vaudois pour valoir ordonnance de mesures provisionnelles. b)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c) En l’espèce, l’ordonnance querellée retient que les circonstances entourant les faits demeurent obscures et que « ce n’est qu’au bénéfice du doute que la prévenue est acquittée ». Cette formulation illustre déjà le fait que la Procureure a méconnu le principe in dubio pro duriore : au stade de l’instruction, le doute ne profite pas au prévenu, mais doit conduire à une mise en accusation. Au surplus, force est de constater que la prévenue a admis avoir utilisé la carte VISA et la carte bancaire du recourant, lors de son audition du 5 juillet 2010 (PV audition 1, pp. 2 et 4). L’explication selon laquelle elle l’aurait fait avec l’accord du recourant sans se douter que leur relation avait pris fin est peu plausible, à tout le moins depuis l’intervention du recourant lui intimant de quitter son appartement, soit depuis le 20 mars 2010 (P. 24). Il était précisé que la prévenue admet avoir reçu la lettre en question (PV audition 1, p. 3). Or, les prélèvements litigieux ont perduré jusqu’au mois de juin 2010. Il y a ainsi suffisamment d’éléments pour envisager la réalisation de l’infraction d’utilisation abusive d’ordinateur. La question d’éventuels faux dans les titres devra en revanche être instruite plus avant, la prévenue ne s’étant, en l’état, pas déterminée précisément sur les quittances présentées (PV audition 1, p. 4). S’agissant de l’infraction de vol, la prévenue a admis avoir emporté du mobilier appartenant au recourant qu’elle s’était engagée à laisser sur place par convention (PV audition 1, p. 5). Bien qu’U.________ soutienne avoir pris les meubles en question provisoirement, pour pouvoir se reloger avec son fils dans l’urgence, sans avoir la volonté de se les approprier durablement, le dossier présente suffisamment d’éléments pour retenir le vol, subsidiairement l’appropriation illégitime au stade de l’instruction. Il appartiendra ainsi au juge matériellement compétent de se prononcer. En définitive, l’on ne saurait retenir qu’il n’existe aucun doute sur les faits, ni aucun soupçon justifiant une mise en accusation de la prévenue, sauf à violer le principe in dubio pro duriore . Il s’ensuit que la Procureure est tenue de dresser un acte d’accusation dirigé contre la prévenue, sous réserve de mesures d’instruction qu’il s’agira encore de mettre en œuvre, au sujet de l’éventuelle infraction de faux dans les titres notamment.</w:t>
      </w:r>
    </w:p>
    <w:p>
      <w:r>
        <w:rPr>
          <w:b/>
        </w:rPr>
        <w:t>E. 3</w:t>
      </w:r>
    </w:p>
    <w:p>
      <w:r>
        <w:t>Eu égard à ce qui précède, le recours doit être admis, l’ordonnance de classement du 21 janvier 2014 annulée et la cause renvoyée au Ministère public de l’arrondissement de l’Est vaudois afin qu’il procède dans le sens des considérants.</w:t>
      </w:r>
    </w:p>
    <w:p>
      <w:r>
        <w:rPr>
          <w:b/>
        </w:rPr>
        <w:t>E. 4</w:t>
      </w:r>
    </w:p>
    <w:p>
      <w:r>
        <w:t>a) U.________ a conclu à la désignation d’un « conseil juridique gratuit » pour la procédure de recours. b) En dehors des cas de défense obligatoire au sens de l’art. 130 CPP – hypothèse non réalisée en l’espèce –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c) En l’espèce, au vu de la nature de l’affaire et de la gravité relative des faits reprochés à la prévenue, l’assistance d’un avocat n’était pas indispensable : l’affaire ne présente pas, que ce soit sur le plan des faits ou du droit, des difficultés qu’U.________ ne pourrait pas surmonter seule. La première condition n’étant pas réalisée, il n’y a pas lieu d’examiner la seconde, à savoir l’indigence, celles-ci étant cumulatives. La requête tendant à la désignation d’un défenseur d’office doit dès lors être rejetée.</w:t>
      </w:r>
    </w:p>
    <w:p>
      <w:r>
        <w:rPr>
          <w:b/>
        </w:rPr>
        <w:t>E. 5</w:t>
      </w:r>
    </w:p>
    <w:p>
      <w:r>
        <w:t>Vu l’issue du recours, les frais de la procédure de recours, constitués du seul émolument d'arrêt, par 880 fr. (art. 20 al. 1 TFJP [tarif des frais judiciaires pénaux; RSV 312.03.1]), seront mis à la charge de la prévenue, qui a conclu au rejet (art. 428 al. 1 CPP). Par ces motifs, la Chambre des recours pénale, statuant à huis clos, prononce : I. Le recours est admis. II. L’ordonnance du 21 janvier 2014 est annulée et le dossier renvoyé au Ministère public de l’arrondissement de l’Est vaudois pour qu’il procède dans le sens des considérants. III. La requête tendant à la désignation d’un défenseur d’office à U.________ est rejetée. IV. Les frais d’arrêt, par 880 fr. (huit cent huitante francs), sont mis à la charge de la prévenue U.________. V. Le présent arrêt est exécutoire. Le président :               La greffière : Du L'arrêt qui précède, dont la rédaction a été approuvée à huis clos, est notifié, par l'envoi d'une copie complète, à : - Me Pascal de Preux, avocat (pour O.________), - Me Ludovic Tirelli, avocat (pour U.________), - VISECA CARD SERVICES SA, Europa-Strasse 19, 8152 Glattbrugg (réf. 462723700008355)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